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2FE" w14:textId="77777777" w:rsidR="0089389E" w:rsidRPr="0089389E" w:rsidRDefault="0089389E" w:rsidP="00A467E4">
      <w:pPr>
        <w:spacing w:line="276" w:lineRule="auto"/>
        <w:ind w:firstLine="708"/>
        <w:jc w:val="center"/>
        <w:rPr>
          <w:rFonts w:eastAsiaTheme="minorHAnsi" w:cs="Arial"/>
          <w:b/>
          <w:sz w:val="22"/>
          <w:lang w:val="es-ES" w:eastAsia="en-US"/>
        </w:rPr>
      </w:pPr>
      <w:r w:rsidRPr="0089389E">
        <w:rPr>
          <w:rFonts w:eastAsiaTheme="minorHAnsi" w:cs="Arial"/>
          <w:b/>
          <w:sz w:val="22"/>
          <w:lang w:val="es-ES" w:eastAsia="en-US"/>
        </w:rPr>
        <w:t>ANEXO 4 — PACTO DE TRANSPARENCIA</w:t>
      </w:r>
    </w:p>
    <w:p w14:paraId="404A090F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89389E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734A55AB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05C57D6E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Cumplir estrictamente la Ley Aplicable.</w:t>
      </w:r>
    </w:p>
    <w:p w14:paraId="0469A5A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6403BB99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7E40B99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141BD97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0B72E315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517E543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7672065D" w14:textId="40D1756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 xml:space="preserve">Enviar por escrito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todas las preguntas o inquietudes que surjan durante el Proceso de Selección y no hacerlo de manera oral por ningún medio, salvo que se realicen dentro de las audiencias públicas. </w:t>
      </w:r>
    </w:p>
    <w:p w14:paraId="0F6B2110" w14:textId="1B3FD91B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Actuar con lealtad hacia los demás Oferentes, así como frente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1BE01F48" w14:textId="592F8E94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para corroborar tales afirmaciones.</w:t>
      </w:r>
    </w:p>
    <w:p w14:paraId="001CD70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6D7251DA" w14:textId="1707395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 las audiencias guardar compostura, no levantar la voz y hacer uso de la palabra únicamente cuando sea concedida y por el tiempo que sea concedida; y acatar las decisiones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>. En caso de desacuerdo interponer los recursos o acciones que se consideren pertinentes en los términos de la Ley Aplicable.</w:t>
      </w:r>
    </w:p>
    <w:p w14:paraId="55BB136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04E349C8" w14:textId="5B08CE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Solicitar o remitir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, o a sus funcionarios y contratistas, cualquier información utilizando solamente los procedimientos y canales previstos en el Proceso de Selección. </w:t>
      </w:r>
    </w:p>
    <w:p w14:paraId="1E923375" w14:textId="3529B299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 xml:space="preserve">No ofrecer trabajo, contratos o algún tipo de beneficio económico o de cualquier otra naturaleza a ningún funcionario público, contratista o estructurador, vinculado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69CCD303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71C80D2D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22AE778D" w14:textId="26D8E8EC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tome respecto de procesos de contratación estatal, bien sea en su adjudicación, supervisión o terminación. </w:t>
      </w:r>
    </w:p>
    <w:p w14:paraId="1A2D2DF9" w14:textId="32234399" w:rsidR="0089389E" w:rsidRPr="0089389E" w:rsidRDefault="00A70EDA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ENTerritorio</w:t>
      </w:r>
      <w:r w:rsidR="0089389E" w:rsidRPr="0089389E">
        <w:rPr>
          <w:rFonts w:eastAsiaTheme="minorHAnsi" w:cs="Arial"/>
          <w:sz w:val="22"/>
          <w:lang w:eastAsia="en-US"/>
        </w:rPr>
        <w:t xml:space="preserve"> siempre se manifestará sobre las inquietudes relacionadas con el proceso de selección por los canales definidos en los documentos del proceso. </w:t>
      </w:r>
    </w:p>
    <w:p w14:paraId="52496373" w14:textId="45713B8F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o sus asesores, o del equipo estructurador, con el fin de tener asesoramiento o acceso a información privilegiada, relacionada con el proceso de selección. </w:t>
      </w:r>
    </w:p>
    <w:p w14:paraId="6479233E" w14:textId="7DB07B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Dar conocimiento a ENT</w:t>
      </w:r>
      <w:r w:rsidR="00A70EDA" w:rsidRPr="0089389E">
        <w:rPr>
          <w:rFonts w:eastAsiaTheme="minorHAnsi" w:cs="Arial"/>
          <w:sz w:val="22"/>
          <w:lang w:eastAsia="en-US"/>
        </w:rPr>
        <w:t>erritorio</w:t>
      </w:r>
      <w:r w:rsidRPr="0089389E">
        <w:rPr>
          <w:rFonts w:eastAsiaTheme="minorHAnsi" w:cs="Arial"/>
          <w:sz w:val="22"/>
          <w:lang w:eastAsia="en-US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</w:t>
      </w:r>
      <w:r w:rsidRPr="0089389E">
        <w:rPr>
          <w:rFonts w:eastAsiaTheme="minorHAnsi" w:cs="Arial"/>
          <w:sz w:val="22"/>
          <w:lang w:eastAsia="en-US"/>
        </w:rPr>
        <w:lastRenderedPageBreak/>
        <w:t xml:space="preserve">durante el Proceso de Selección o con cargo al Contrato, y del conocimiento que tenga sobre posibles pagos o beneficios ofrecidos u otorgados. </w:t>
      </w:r>
    </w:p>
    <w:p w14:paraId="1649F404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89389E">
        <w:rPr>
          <w:rFonts w:eastAsiaTheme="minorHAnsi" w:cs="Arial"/>
          <w:sz w:val="22"/>
          <w:lang w:eastAsia="en-US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5375" w14:textId="77777777" w:rsidR="00762058" w:rsidRDefault="00762058" w:rsidP="007D0390">
      <w:pPr>
        <w:spacing w:after="0" w:line="240" w:lineRule="auto"/>
      </w:pPr>
      <w:r>
        <w:separator/>
      </w:r>
    </w:p>
  </w:endnote>
  <w:endnote w:type="continuationSeparator" w:id="0">
    <w:p w14:paraId="651E02C2" w14:textId="77777777" w:rsidR="00762058" w:rsidRDefault="0076205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FFB9" w14:textId="77777777" w:rsidR="00762058" w:rsidRDefault="00762058" w:rsidP="007D0390">
      <w:pPr>
        <w:spacing w:after="0" w:line="240" w:lineRule="auto"/>
      </w:pPr>
      <w:r>
        <w:separator/>
      </w:r>
    </w:p>
  </w:footnote>
  <w:footnote w:type="continuationSeparator" w:id="0">
    <w:p w14:paraId="79D7F478" w14:textId="77777777" w:rsidR="00762058" w:rsidRDefault="0076205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0AC8B7E0" w:rsidR="000A5432" w:rsidRDefault="00CA10BA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142C279" wp14:editId="092B7B58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56EA014" w:rsidR="000268C3" w:rsidRDefault="000A5432" w:rsidP="00AF18B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4C33052B" w:rsidR="000268C3" w:rsidRDefault="000268C3" w:rsidP="00A467E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 xml:space="preserve">ANEXO </w:t>
    </w:r>
    <w:r w:rsidR="0089389E">
      <w:rPr>
        <w:rFonts w:cs="Arial"/>
        <w:b/>
        <w:color w:val="3B3838"/>
        <w:szCs w:val="20"/>
      </w:rPr>
      <w:t>4</w:t>
    </w:r>
  </w:p>
  <w:p w14:paraId="4701F524" w14:textId="31263787" w:rsidR="006C6417" w:rsidRDefault="006C6417" w:rsidP="00A467E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</w:p>
  <w:p w14:paraId="222CFA88" w14:textId="553F1836" w:rsidR="006C6417" w:rsidRDefault="006C6417" w:rsidP="00A467E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 02</w:t>
    </w:r>
    <w:r w:rsidR="00A467E4">
      <w:rPr>
        <w:rFonts w:cs="Arial"/>
        <w:b/>
        <w:color w:val="3B3838"/>
        <w:szCs w:val="20"/>
      </w:rPr>
      <w:t>6</w:t>
    </w:r>
    <w:r>
      <w:rPr>
        <w:rFonts w:cs="Arial"/>
        <w:b/>
        <w:color w:val="3B3838"/>
        <w:szCs w:val="20"/>
      </w:rPr>
      <w:t>-2021</w:t>
    </w:r>
  </w:p>
  <w:p w14:paraId="7090AFBF" w14:textId="77777777" w:rsidR="00A467E4" w:rsidRDefault="00A467E4" w:rsidP="00A467E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</w:p>
  <w:p w14:paraId="096CDC3F" w14:textId="77777777" w:rsidR="00A467E4" w:rsidRPr="00315E6E" w:rsidRDefault="00A467E4" w:rsidP="00A467E4">
    <w:pPr>
      <w:spacing w:after="240" w:line="276" w:lineRule="auto"/>
      <w:jc w:val="center"/>
      <w:rPr>
        <w:rFonts w:cs="Arial"/>
        <w:b/>
        <w:color w:val="000000" w:themeColor="text1"/>
        <w:sz w:val="22"/>
      </w:rPr>
    </w:pPr>
    <w:r w:rsidRPr="00315E6E">
      <w:rPr>
        <w:rFonts w:cs="Arial"/>
        <w:b/>
        <w:color w:val="000000" w:themeColor="text1"/>
        <w:sz w:val="22"/>
      </w:rPr>
      <w:t>“SUMINISTRO DE MATERIALES PÉTREOS PARA EL MEJORAMIENTO Y MANTENIMIENTO DE LAS VÍAS INTERNAS Y TERCIARIAS DEL CORREGIMIENTO DE EL SALADO DEL MUNICIPIO DE CARMEN DE BOLÍVAR DEL DEPARTAMENTO DE BOLÍVAR, EN EL MARCO DEL CONTRATO INTERADMINISTRATIVO No. 221008”.</w:t>
    </w:r>
  </w:p>
  <w:p w14:paraId="64B2701D" w14:textId="7777777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79.5pt;height:174.5pt" o:bullet="t">
        <v:imagedata r:id="rId1" o:title=""/>
      </v:shape>
    </w:pict>
  </w:numPicBullet>
  <w:numPicBullet w:numPicBulletId="1">
    <w:pict>
      <v:shape id="_x0000_i1061" type="#_x0000_t75" style="width:11.5pt;height:11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258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24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1E37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1CA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417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2058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748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389E"/>
    <w:rsid w:val="008951E4"/>
    <w:rsid w:val="00896C0F"/>
    <w:rsid w:val="008A088B"/>
    <w:rsid w:val="008A2E93"/>
    <w:rsid w:val="008A4B9F"/>
    <w:rsid w:val="008A5386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467E4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0EDA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B9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0BA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6C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Oscar Eduardo Carvajal Acero</cp:lastModifiedBy>
  <cp:revision>7</cp:revision>
  <cp:lastPrinted>2015-06-30T23:24:00Z</cp:lastPrinted>
  <dcterms:created xsi:type="dcterms:W3CDTF">2021-07-27T00:33:00Z</dcterms:created>
  <dcterms:modified xsi:type="dcterms:W3CDTF">2021-10-15T18:03:00Z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