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5078" w14:textId="77777777" w:rsidR="00851CB3" w:rsidRDefault="004714F5">
      <w:pPr>
        <w:pStyle w:val="NoSpacing"/>
        <w:ind w:left="709" w:hanging="709"/>
        <w:jc w:val="both"/>
      </w:pPr>
      <w:r>
        <w:t xml:space="preserve"> </w:t>
      </w:r>
      <w:bookmarkStart w:id="0" w:name="_Toc191376336"/>
    </w:p>
    <w:p w14:paraId="2EA0BE06" w14:textId="77777777" w:rsidR="00851CB3" w:rsidRDefault="004714F5">
      <w:pPr>
        <w:autoSpaceDE w:val="0"/>
        <w:spacing w:after="0"/>
        <w:jc w:val="center"/>
        <w:rPr>
          <w:rFonts w:cs="Arial"/>
          <w:b/>
          <w:sz w:val="24"/>
          <w:szCs w:val="24"/>
        </w:rPr>
      </w:pPr>
      <w:r>
        <w:rPr>
          <w:rFonts w:cs="Arial"/>
          <w:b/>
          <w:sz w:val="24"/>
          <w:szCs w:val="24"/>
        </w:rPr>
        <w:t>METODOLOGÍA DEL FACTOR MULTIPLICADOR</w:t>
      </w:r>
    </w:p>
    <w:p w14:paraId="67A6A906" w14:textId="77777777" w:rsidR="00851CB3" w:rsidRDefault="00851CB3">
      <w:pPr>
        <w:autoSpaceDE w:val="0"/>
        <w:spacing w:after="0"/>
        <w:jc w:val="center"/>
        <w:rPr>
          <w:rFonts w:cs="Arial"/>
          <w:b/>
          <w:sz w:val="28"/>
          <w:szCs w:val="28"/>
        </w:rPr>
      </w:pPr>
    </w:p>
    <w:p w14:paraId="7FAF2889" w14:textId="77777777" w:rsidR="00851CB3" w:rsidRDefault="004714F5">
      <w:pPr>
        <w:autoSpaceDE w:val="0"/>
        <w:spacing w:after="0"/>
        <w:jc w:val="center"/>
      </w:pPr>
      <w:r>
        <w:rPr>
          <w:rFonts w:cs="Arial"/>
          <w:b/>
          <w:sz w:val="24"/>
          <w:szCs w:val="24"/>
        </w:rPr>
        <w:t xml:space="preserve">EMPRESA NACIONAL PROMOTORA DEL DESARROLLO TERRITORIAL – </w:t>
      </w:r>
      <w:proofErr w:type="spellStart"/>
      <w:r>
        <w:rPr>
          <w:rFonts w:cs="Arial"/>
          <w:b/>
          <w:sz w:val="24"/>
          <w:szCs w:val="24"/>
        </w:rPr>
        <w:t>ENTerritorio</w:t>
      </w:r>
      <w:proofErr w:type="spellEnd"/>
      <w:r>
        <w:rPr>
          <w:rFonts w:cs="Arial"/>
          <w:b/>
          <w:sz w:val="24"/>
          <w:szCs w:val="24"/>
        </w:rPr>
        <w:t xml:space="preserve"> </w:t>
      </w:r>
    </w:p>
    <w:p w14:paraId="7DB31C68" w14:textId="77777777" w:rsidR="00851CB3" w:rsidRDefault="00851CB3">
      <w:pPr>
        <w:spacing w:after="0"/>
        <w:jc w:val="center"/>
        <w:rPr>
          <w:rFonts w:ascii="Helvetica-Bold" w:hAnsi="Helvetica-Bold" w:cs="Helvetica-Bold"/>
          <w:b/>
          <w:bCs/>
          <w:color w:val="0000FF"/>
          <w:sz w:val="18"/>
          <w:szCs w:val="18"/>
          <w:lang w:eastAsia="es-CO"/>
        </w:rPr>
      </w:pPr>
    </w:p>
    <w:p w14:paraId="5B55BFBC" w14:textId="1E366F9B" w:rsidR="00851CB3" w:rsidRDefault="004714F5">
      <w:pPr>
        <w:spacing w:after="0"/>
        <w:jc w:val="center"/>
        <w:rPr>
          <w:rFonts w:cs="Arial"/>
          <w:b/>
          <w:bCs/>
          <w:sz w:val="24"/>
          <w:szCs w:val="24"/>
          <w:lang w:eastAsia="es-CO"/>
        </w:rPr>
      </w:pPr>
      <w:r>
        <w:rPr>
          <w:rFonts w:cs="Arial"/>
          <w:b/>
          <w:bCs/>
          <w:sz w:val="24"/>
          <w:szCs w:val="24"/>
          <w:lang w:eastAsia="es-CO"/>
        </w:rPr>
        <w:t>PROCESO DE SELECCIÓN INA-0</w:t>
      </w:r>
      <w:r w:rsidR="00A31D52">
        <w:rPr>
          <w:rFonts w:cs="Arial"/>
          <w:b/>
          <w:bCs/>
          <w:sz w:val="24"/>
          <w:szCs w:val="24"/>
          <w:lang w:eastAsia="es-CO"/>
        </w:rPr>
        <w:t>31</w:t>
      </w:r>
      <w:r>
        <w:rPr>
          <w:rFonts w:cs="Arial"/>
          <w:b/>
          <w:bCs/>
          <w:sz w:val="24"/>
          <w:szCs w:val="24"/>
          <w:lang w:eastAsia="es-CO"/>
        </w:rPr>
        <w:t>-2021</w:t>
      </w:r>
    </w:p>
    <w:p w14:paraId="03A9762D" w14:textId="77777777" w:rsidR="00851CB3" w:rsidRDefault="00851CB3">
      <w:pPr>
        <w:pStyle w:val="NoSpacing"/>
        <w:ind w:left="360"/>
        <w:jc w:val="both"/>
        <w:rPr>
          <w:rFonts w:ascii="Arial" w:hAnsi="Arial" w:cs="Arial"/>
          <w:sz w:val="28"/>
          <w:szCs w:val="28"/>
          <w:lang w:val="es-CO"/>
        </w:rPr>
      </w:pPr>
    </w:p>
    <w:p w14:paraId="17275EE3" w14:textId="77777777" w:rsidR="00851CB3" w:rsidRDefault="004714F5">
      <w:pPr>
        <w:pStyle w:val="NoSpacing"/>
        <w:jc w:val="both"/>
        <w:rPr>
          <w:rFonts w:ascii="Arial" w:hAnsi="Arial" w:cs="Arial"/>
          <w:lang w:val="es-CO"/>
        </w:rPr>
      </w:pPr>
      <w:r>
        <w:rPr>
          <w:rFonts w:ascii="Arial" w:hAnsi="Arial" w:cs="Arial"/>
          <w:lang w:val="es-CO"/>
        </w:rPr>
        <w:t>El multiplicador de un contrato debe cubrir los costos de una firma y reconocer un honorario. Las firmas consultoras tienen unos costos laborarles, unos gastos generales de administración y unos costos de capital que tienen que aplicar y repartir entre sus contratos para que sean absorbidos por el costo del personal facturable.</w:t>
      </w:r>
    </w:p>
    <w:p w14:paraId="5C6FE954" w14:textId="77777777" w:rsidR="00851CB3" w:rsidRDefault="00851CB3">
      <w:pPr>
        <w:pStyle w:val="NoSpacing"/>
        <w:jc w:val="both"/>
        <w:rPr>
          <w:rFonts w:ascii="Arial" w:hAnsi="Arial" w:cs="Arial"/>
          <w:lang w:val="es-CO"/>
        </w:rPr>
      </w:pPr>
    </w:p>
    <w:p w14:paraId="4C572491" w14:textId="77777777" w:rsidR="00851CB3" w:rsidRDefault="004714F5">
      <w:pPr>
        <w:pStyle w:val="NoSpacing"/>
        <w:jc w:val="both"/>
        <w:rPr>
          <w:rFonts w:ascii="Arial" w:hAnsi="Arial" w:cs="Arial"/>
          <w:lang w:val="es-CO"/>
        </w:rPr>
      </w:pPr>
      <w:r>
        <w:rPr>
          <w:rFonts w:ascii="Arial" w:hAnsi="Arial" w:cs="Arial"/>
          <w:lang w:val="es-CO"/>
        </w:rPr>
        <w:t>Estos costos de administración varían con el tiempo debido a factores internos y externos que afectan a la firma y al trabajo. Entre dichos factores se pueden mencionar: nuevos contratos, contratos terminados, rotación de personal, cambios en la legislación laboral, variaciones en el costo de vida, ampliación o reducción de la firma, etc.</w:t>
      </w:r>
    </w:p>
    <w:p w14:paraId="46229B7A" w14:textId="77777777" w:rsidR="00851CB3" w:rsidRDefault="00851CB3">
      <w:pPr>
        <w:pStyle w:val="NoSpacing"/>
        <w:jc w:val="both"/>
        <w:rPr>
          <w:rFonts w:ascii="Arial" w:hAnsi="Arial" w:cs="Arial"/>
          <w:lang w:val="es-CO"/>
        </w:rPr>
      </w:pPr>
    </w:p>
    <w:p w14:paraId="38B37821" w14:textId="77777777" w:rsidR="00851CB3" w:rsidRDefault="004714F5">
      <w:pPr>
        <w:autoSpaceDE w:val="0"/>
        <w:spacing w:after="0"/>
        <w:jc w:val="both"/>
        <w:rPr>
          <w:rFonts w:ascii="Helvetica-Bold" w:hAnsi="Helvetica-Bold" w:cs="Helvetica-Bold"/>
          <w:b/>
          <w:bCs/>
          <w:lang w:eastAsia="es-CO"/>
        </w:rPr>
      </w:pPr>
      <w:r>
        <w:rPr>
          <w:rFonts w:ascii="Helvetica-Bold" w:hAnsi="Helvetica-Bold" w:cs="Helvetica-Bold"/>
          <w:b/>
          <w:bCs/>
          <w:lang w:eastAsia="es-CO"/>
        </w:rPr>
        <w:t>Las firmas de igual tamaño y antigüedad seguramente tendrán condiciones administrativas y laborales que implican costos diferentes y por consiguiente multiplicadores diferentes.</w:t>
      </w:r>
    </w:p>
    <w:p w14:paraId="5814578A" w14:textId="77777777" w:rsidR="00851CB3" w:rsidRDefault="00851CB3">
      <w:pPr>
        <w:autoSpaceDE w:val="0"/>
        <w:spacing w:after="0"/>
        <w:jc w:val="both"/>
        <w:rPr>
          <w:rFonts w:ascii="Helvetica-Bold" w:hAnsi="Helvetica-Bold" w:cs="Helvetica-Bold"/>
          <w:b/>
          <w:bCs/>
          <w:lang w:eastAsia="es-CO"/>
        </w:rPr>
      </w:pPr>
    </w:p>
    <w:p w14:paraId="1F6F22E6"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Adicionalmente, el incremento de las prestaciones sociales con el transcurso del tiempo incide sobre el factor multiplicador, por lo tanto éste no puede mantenerse estático para una compañía. Para trabajos cuya duración sea mayor de un año debe preverse un multiplicador que contemple esta variación.</w:t>
      </w:r>
    </w:p>
    <w:p w14:paraId="059A9C43" w14:textId="77777777" w:rsidR="00851CB3" w:rsidRDefault="00851CB3">
      <w:pPr>
        <w:autoSpaceDE w:val="0"/>
        <w:spacing w:after="0"/>
        <w:jc w:val="both"/>
        <w:rPr>
          <w:rFonts w:ascii="Helvetica-Bold" w:hAnsi="Helvetica-Bold" w:cs="Helvetica-Bold"/>
          <w:b/>
          <w:bCs/>
          <w:lang w:eastAsia="es-CO"/>
        </w:rPr>
      </w:pPr>
    </w:p>
    <w:p w14:paraId="17696D7D" w14:textId="77777777" w:rsidR="00851CB3" w:rsidRDefault="004714F5">
      <w:pPr>
        <w:autoSpaceDE w:val="0"/>
        <w:spacing w:after="0"/>
        <w:jc w:val="both"/>
        <w:rPr>
          <w:rFonts w:ascii="Helvetica-Bold" w:hAnsi="Helvetica-Bold" w:cs="Helvetica-Bold"/>
          <w:b/>
          <w:bCs/>
          <w:lang w:eastAsia="es-CO"/>
        </w:rPr>
      </w:pPr>
      <w:r>
        <w:rPr>
          <w:rFonts w:ascii="Helvetica-Bold" w:hAnsi="Helvetica-Bold" w:cs="Helvetica-Bold"/>
          <w:b/>
          <w:bCs/>
          <w:lang w:eastAsia="es-CO"/>
        </w:rPr>
        <w:t>A. CONFORMACIÓN DEL MULTIPLICADOR SOBRE COSTOS DE PERSONAL</w:t>
      </w:r>
    </w:p>
    <w:p w14:paraId="429A2243" w14:textId="77777777" w:rsidR="00851CB3" w:rsidRDefault="00851CB3">
      <w:pPr>
        <w:autoSpaceDE w:val="0"/>
        <w:spacing w:after="0"/>
        <w:jc w:val="both"/>
        <w:rPr>
          <w:rFonts w:ascii="Helvetica" w:hAnsi="Helvetica" w:cs="Helvetica"/>
          <w:lang w:eastAsia="es-CO"/>
        </w:rPr>
      </w:pPr>
    </w:p>
    <w:p w14:paraId="2E21339E"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Cuando se utiliza el sistema de factor multiplicador -FM, el costo por concepto de sueldos, jornales, horas extras, primas regionales, viáticos, prestaciones sociales, costos indirectos asociados con la prestación de servicios de una firma de consultoría, así como sus honorarios, deben ser reconocidos aplicando un factor multiplicador sobre costos del personal utilizado específicamente en el proyecto.</w:t>
      </w:r>
    </w:p>
    <w:p w14:paraId="4AC5EE9E" w14:textId="77777777" w:rsidR="00851CB3" w:rsidRDefault="00851CB3">
      <w:pPr>
        <w:autoSpaceDE w:val="0"/>
        <w:spacing w:after="0"/>
        <w:jc w:val="both"/>
        <w:rPr>
          <w:rFonts w:ascii="Helvetica" w:hAnsi="Helvetica" w:cs="Helvetica"/>
          <w:lang w:eastAsia="es-CO"/>
        </w:rPr>
      </w:pPr>
    </w:p>
    <w:p w14:paraId="26600269"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En consecuencia, el FM está formado por los siguientes componentes del costo:</w:t>
      </w:r>
    </w:p>
    <w:p w14:paraId="4C4935E8" w14:textId="77777777" w:rsidR="00851CB3" w:rsidRDefault="00851CB3">
      <w:pPr>
        <w:autoSpaceDE w:val="0"/>
        <w:spacing w:after="0"/>
        <w:jc w:val="both"/>
        <w:rPr>
          <w:rFonts w:ascii="Helvetica" w:hAnsi="Helvetica" w:cs="Helvetica"/>
          <w:lang w:eastAsia="es-CO"/>
        </w:rPr>
      </w:pPr>
    </w:p>
    <w:p w14:paraId="2FA5F53A" w14:textId="77777777" w:rsidR="00851CB3" w:rsidRDefault="004714F5">
      <w:pPr>
        <w:numPr>
          <w:ilvl w:val="0"/>
          <w:numId w:val="12"/>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Costos de personal</w:t>
      </w:r>
    </w:p>
    <w:p w14:paraId="0CBD73C9" w14:textId="77777777" w:rsidR="00851CB3" w:rsidRDefault="004714F5">
      <w:pPr>
        <w:numPr>
          <w:ilvl w:val="0"/>
          <w:numId w:val="12"/>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Prestaciones sociales</w:t>
      </w:r>
    </w:p>
    <w:p w14:paraId="5B0FA4F5" w14:textId="77777777" w:rsidR="00851CB3" w:rsidRDefault="004714F5">
      <w:pPr>
        <w:numPr>
          <w:ilvl w:val="0"/>
          <w:numId w:val="12"/>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Costos indirectos de la compañía, impuestos y timbres del contrato</w:t>
      </w:r>
    </w:p>
    <w:p w14:paraId="02383B07" w14:textId="77777777" w:rsidR="00851CB3" w:rsidRDefault="004714F5">
      <w:pPr>
        <w:numPr>
          <w:ilvl w:val="0"/>
          <w:numId w:val="12"/>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Honorarios</w:t>
      </w:r>
    </w:p>
    <w:p w14:paraId="423D1DDC" w14:textId="77777777" w:rsidR="00851CB3" w:rsidRDefault="00851CB3">
      <w:pPr>
        <w:autoSpaceDE w:val="0"/>
        <w:spacing w:after="0"/>
        <w:ind w:left="720"/>
        <w:jc w:val="both"/>
        <w:rPr>
          <w:rFonts w:ascii="Helvetica-Bold" w:hAnsi="Helvetica-Bold" w:cs="Helvetica-Bold"/>
          <w:bCs/>
          <w:lang w:eastAsia="es-CO"/>
        </w:rPr>
      </w:pPr>
    </w:p>
    <w:p w14:paraId="3DAF621B" w14:textId="77777777" w:rsidR="00851CB3" w:rsidRDefault="004714F5">
      <w:pPr>
        <w:autoSpaceDE w:val="0"/>
        <w:spacing w:after="0"/>
        <w:jc w:val="both"/>
        <w:rPr>
          <w:rFonts w:ascii="Helvetica-Bold" w:hAnsi="Helvetica-Bold" w:cs="Helvetica-Bold"/>
          <w:b/>
          <w:bCs/>
          <w:lang w:eastAsia="es-CO"/>
        </w:rPr>
      </w:pPr>
      <w:r>
        <w:rPr>
          <w:rFonts w:ascii="Helvetica-Bold" w:hAnsi="Helvetica-Bold" w:cs="Helvetica-Bold"/>
          <w:b/>
          <w:bCs/>
          <w:lang w:eastAsia="es-CO"/>
        </w:rPr>
        <w:t>B. COSTOS SOBRE LOS CUALES SE APLICA EL FACTOR MULTIPLICADOR</w:t>
      </w:r>
    </w:p>
    <w:p w14:paraId="0C5386D8" w14:textId="77777777" w:rsidR="00851CB3" w:rsidRDefault="00851CB3">
      <w:pPr>
        <w:autoSpaceDE w:val="0"/>
        <w:spacing w:after="0"/>
        <w:jc w:val="both"/>
        <w:rPr>
          <w:rFonts w:ascii="Helvetica" w:hAnsi="Helvetica" w:cs="Helvetica"/>
          <w:lang w:eastAsia="es-CO"/>
        </w:rPr>
      </w:pPr>
    </w:p>
    <w:p w14:paraId="7B68C88F"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El FM se aplica sobre:</w:t>
      </w:r>
    </w:p>
    <w:p w14:paraId="7DE309B6" w14:textId="77777777" w:rsidR="00851CB3" w:rsidRDefault="00851CB3">
      <w:pPr>
        <w:autoSpaceDE w:val="0"/>
        <w:spacing w:after="0"/>
        <w:jc w:val="both"/>
        <w:rPr>
          <w:rFonts w:ascii="Symbol" w:hAnsi="Symbol" w:cs="Symbol"/>
          <w:lang w:eastAsia="es-CO"/>
        </w:rPr>
      </w:pPr>
    </w:p>
    <w:p w14:paraId="09F87D63" w14:textId="77777777" w:rsidR="00851CB3" w:rsidRDefault="004714F5">
      <w:pPr>
        <w:numPr>
          <w:ilvl w:val="0"/>
          <w:numId w:val="13"/>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lastRenderedPageBreak/>
        <w:t>Sueldos: Corresponde a sueldos pagados por la compañía consultora al personal directamente vinculado al proyecto, o a las tarifas pactadas para las diversas categorías de personal que participan en el mismo, según lo acordado con el cliente.</w:t>
      </w:r>
    </w:p>
    <w:p w14:paraId="1CEEF298" w14:textId="77777777" w:rsidR="00851CB3" w:rsidRDefault="00851CB3">
      <w:pPr>
        <w:autoSpaceDE w:val="0"/>
        <w:spacing w:after="0"/>
        <w:jc w:val="both"/>
        <w:rPr>
          <w:rFonts w:ascii="Symbol" w:hAnsi="Symbol" w:cs="Symbol"/>
          <w:lang w:eastAsia="es-CO"/>
        </w:rPr>
      </w:pPr>
    </w:p>
    <w:p w14:paraId="15DD6A78" w14:textId="77777777" w:rsidR="00851CB3" w:rsidRDefault="004714F5">
      <w:pPr>
        <w:numPr>
          <w:ilvl w:val="0"/>
          <w:numId w:val="13"/>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Viáticos y primas regionales o de localización: Corresponden al valor pagado por el Consultor como viático o gastos de viaje a su personal, a la aplicación de las tarifas de viáticos pactadas con el cliente o a las primas regionales y de localización pactadas con el cliente.</w:t>
      </w:r>
    </w:p>
    <w:p w14:paraId="6A4A2860" w14:textId="77777777" w:rsidR="00851CB3" w:rsidRDefault="00851CB3">
      <w:pPr>
        <w:autoSpaceDE w:val="0"/>
        <w:spacing w:after="0"/>
        <w:jc w:val="both"/>
        <w:rPr>
          <w:rFonts w:ascii="Symbol" w:hAnsi="Symbol" w:cs="Symbol"/>
          <w:lang w:eastAsia="es-CO"/>
        </w:rPr>
      </w:pPr>
    </w:p>
    <w:p w14:paraId="39FBE037" w14:textId="77777777" w:rsidR="00851CB3" w:rsidRDefault="004714F5">
      <w:pPr>
        <w:numPr>
          <w:ilvl w:val="0"/>
          <w:numId w:val="13"/>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Horas Extras: Corresponden a los valores pagados por el consultor por concepto de horas extras de acuerdo con lo previsto en el Código Sustantivo del Trabajo.</w:t>
      </w:r>
    </w:p>
    <w:p w14:paraId="0ED562B1" w14:textId="77777777" w:rsidR="00851CB3" w:rsidRDefault="00851CB3">
      <w:pPr>
        <w:spacing w:after="0"/>
        <w:jc w:val="both"/>
        <w:rPr>
          <w:rFonts w:cs="Arial"/>
          <w:b/>
          <w:sz w:val="28"/>
          <w:szCs w:val="28"/>
        </w:rPr>
      </w:pPr>
    </w:p>
    <w:p w14:paraId="2B37E96F" w14:textId="77777777" w:rsidR="00851CB3" w:rsidRDefault="004714F5">
      <w:pPr>
        <w:autoSpaceDE w:val="0"/>
        <w:spacing w:after="0"/>
        <w:jc w:val="both"/>
        <w:rPr>
          <w:rFonts w:ascii="Helvetica-Bold" w:hAnsi="Helvetica-Bold" w:cs="Helvetica-Bold"/>
          <w:b/>
          <w:bCs/>
          <w:lang w:eastAsia="es-CO"/>
        </w:rPr>
      </w:pPr>
      <w:r>
        <w:rPr>
          <w:rFonts w:ascii="Helvetica-Bold" w:hAnsi="Helvetica-Bold" w:cs="Helvetica-Bold"/>
          <w:b/>
          <w:bCs/>
          <w:lang w:eastAsia="es-CO"/>
        </w:rPr>
        <w:t>C. BASES PARA ESTIMAR EL FACTOR MULTIPLICADOR</w:t>
      </w:r>
    </w:p>
    <w:p w14:paraId="1B030598" w14:textId="77777777" w:rsidR="00851CB3" w:rsidRDefault="00851CB3">
      <w:pPr>
        <w:autoSpaceDE w:val="0"/>
        <w:spacing w:after="0"/>
        <w:jc w:val="both"/>
        <w:rPr>
          <w:rFonts w:ascii="Helvetica-Bold" w:hAnsi="Helvetica-Bold" w:cs="Helvetica-Bold"/>
          <w:b/>
          <w:bCs/>
          <w:lang w:eastAsia="es-CO"/>
        </w:rPr>
      </w:pPr>
    </w:p>
    <w:p w14:paraId="5DFA4985" w14:textId="77777777" w:rsidR="00851CB3" w:rsidRDefault="004714F5">
      <w:pPr>
        <w:numPr>
          <w:ilvl w:val="0"/>
          <w:numId w:val="14"/>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Costos de Personal-Sueldo Básico</w:t>
      </w:r>
    </w:p>
    <w:p w14:paraId="65E36116" w14:textId="77777777" w:rsidR="00851CB3" w:rsidRDefault="00851CB3">
      <w:pPr>
        <w:autoSpaceDE w:val="0"/>
        <w:spacing w:after="0"/>
        <w:ind w:left="720"/>
        <w:jc w:val="both"/>
        <w:rPr>
          <w:rFonts w:ascii="Helvetica" w:hAnsi="Helvetica" w:cs="Helvetica"/>
          <w:lang w:eastAsia="es-CO"/>
        </w:rPr>
      </w:pPr>
    </w:p>
    <w:p w14:paraId="5F1066CD" w14:textId="77777777" w:rsidR="00851CB3" w:rsidRDefault="004714F5">
      <w:pPr>
        <w:numPr>
          <w:ilvl w:val="0"/>
          <w:numId w:val="14"/>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Prestaciones Sociales: Para una compañía el valor de las prestaciones sociales legales depende de la antigüedad promedio ponderada con los sueldos de todo su personal y de las prestaciones extralegales reconocidas por la firma consultora y definidas dentro de los siguientes componentes:</w:t>
      </w:r>
    </w:p>
    <w:p w14:paraId="1344B033" w14:textId="77777777" w:rsidR="00851CB3" w:rsidRDefault="00851CB3">
      <w:pPr>
        <w:autoSpaceDE w:val="0"/>
        <w:spacing w:after="0"/>
        <w:ind w:left="720"/>
        <w:jc w:val="both"/>
        <w:rPr>
          <w:rFonts w:ascii="Helvetica" w:hAnsi="Helvetica" w:cs="Helvetica"/>
          <w:lang w:eastAsia="es-CO"/>
        </w:rPr>
      </w:pPr>
    </w:p>
    <w:p w14:paraId="4D285351" w14:textId="77777777" w:rsidR="00851CB3" w:rsidRDefault="004714F5">
      <w:pPr>
        <w:numPr>
          <w:ilvl w:val="0"/>
          <w:numId w:val="15"/>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Prima anual</w:t>
      </w:r>
    </w:p>
    <w:p w14:paraId="1F112C82" w14:textId="77777777" w:rsidR="00851CB3" w:rsidRDefault="004714F5">
      <w:pPr>
        <w:numPr>
          <w:ilvl w:val="0"/>
          <w:numId w:val="15"/>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Cesantía anual (Retroactividad cesantías)</w:t>
      </w:r>
    </w:p>
    <w:p w14:paraId="70E54825" w14:textId="77777777" w:rsidR="00851CB3" w:rsidRDefault="004714F5">
      <w:pPr>
        <w:numPr>
          <w:ilvl w:val="0"/>
          <w:numId w:val="15"/>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Intereses a las cesantías</w:t>
      </w:r>
    </w:p>
    <w:p w14:paraId="270DBA3D" w14:textId="77777777" w:rsidR="00851CB3" w:rsidRDefault="004714F5">
      <w:pPr>
        <w:numPr>
          <w:ilvl w:val="0"/>
          <w:numId w:val="15"/>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Vacaciones anuales</w:t>
      </w:r>
    </w:p>
    <w:p w14:paraId="54AE874E" w14:textId="77777777" w:rsidR="00851CB3" w:rsidRDefault="004714F5">
      <w:pPr>
        <w:numPr>
          <w:ilvl w:val="0"/>
          <w:numId w:val="15"/>
        </w:numPr>
        <w:suppressAutoHyphens w:val="0"/>
        <w:autoSpaceDE w:val="0"/>
        <w:spacing w:after="0"/>
        <w:jc w:val="both"/>
        <w:textAlignment w:val="auto"/>
        <w:rPr>
          <w:rFonts w:ascii="Helvetica" w:hAnsi="Helvetica" w:cs="Helvetica"/>
          <w:lang w:val="en-US" w:eastAsia="es-CO"/>
        </w:rPr>
      </w:pPr>
      <w:r>
        <w:rPr>
          <w:rFonts w:ascii="Helvetica" w:hAnsi="Helvetica" w:cs="Helvetica"/>
          <w:lang w:val="en-US" w:eastAsia="es-CO"/>
        </w:rPr>
        <w:t>EPS (ATEP, IVM, EGM)</w:t>
      </w:r>
    </w:p>
    <w:p w14:paraId="4689B0AC" w14:textId="77777777" w:rsidR="00851CB3" w:rsidRDefault="004714F5">
      <w:pPr>
        <w:numPr>
          <w:ilvl w:val="0"/>
          <w:numId w:val="15"/>
        </w:numPr>
        <w:suppressAutoHyphens w:val="0"/>
        <w:autoSpaceDE w:val="0"/>
        <w:spacing w:after="0"/>
        <w:jc w:val="both"/>
        <w:textAlignment w:val="auto"/>
        <w:rPr>
          <w:rFonts w:ascii="Helvetica" w:hAnsi="Helvetica" w:cs="Helvetica"/>
          <w:lang w:val="en-US" w:eastAsia="es-CO"/>
        </w:rPr>
      </w:pPr>
      <w:proofErr w:type="spellStart"/>
      <w:r>
        <w:rPr>
          <w:rFonts w:ascii="Helvetica" w:hAnsi="Helvetica" w:cs="Helvetica"/>
          <w:lang w:val="en-US" w:eastAsia="es-CO"/>
        </w:rPr>
        <w:t>Subsidio</w:t>
      </w:r>
      <w:proofErr w:type="spellEnd"/>
      <w:r>
        <w:rPr>
          <w:rFonts w:ascii="Helvetica" w:hAnsi="Helvetica" w:cs="Helvetica"/>
          <w:lang w:val="en-US" w:eastAsia="es-CO"/>
        </w:rPr>
        <w:t xml:space="preserve"> familiar</w:t>
      </w:r>
    </w:p>
    <w:p w14:paraId="2B4BA18F" w14:textId="77777777" w:rsidR="00851CB3" w:rsidRDefault="004714F5">
      <w:pPr>
        <w:numPr>
          <w:ilvl w:val="0"/>
          <w:numId w:val="15"/>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SENA</w:t>
      </w:r>
    </w:p>
    <w:p w14:paraId="0F81B415" w14:textId="77777777" w:rsidR="00851CB3" w:rsidRDefault="004714F5">
      <w:pPr>
        <w:numPr>
          <w:ilvl w:val="0"/>
          <w:numId w:val="15"/>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ICBF</w:t>
      </w:r>
    </w:p>
    <w:p w14:paraId="7DE647E4" w14:textId="77777777" w:rsidR="00851CB3" w:rsidRDefault="004714F5">
      <w:pPr>
        <w:numPr>
          <w:ilvl w:val="0"/>
          <w:numId w:val="15"/>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Seguros de ley</w:t>
      </w:r>
    </w:p>
    <w:p w14:paraId="0660F3DD" w14:textId="77777777" w:rsidR="00851CB3" w:rsidRDefault="004714F5">
      <w:pPr>
        <w:numPr>
          <w:ilvl w:val="0"/>
          <w:numId w:val="15"/>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Indemnización de ley</w:t>
      </w:r>
    </w:p>
    <w:p w14:paraId="5078067A" w14:textId="77777777" w:rsidR="00851CB3" w:rsidRDefault="004714F5">
      <w:pPr>
        <w:numPr>
          <w:ilvl w:val="0"/>
          <w:numId w:val="15"/>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Otros (Incapacidad no cubierta EPS y medicina prepagada, Dotación, Auxilios varios, Prestaciones extralegales)</w:t>
      </w:r>
    </w:p>
    <w:p w14:paraId="279D6212" w14:textId="77777777" w:rsidR="00851CB3" w:rsidRDefault="00851CB3">
      <w:pPr>
        <w:autoSpaceDE w:val="0"/>
        <w:spacing w:after="0"/>
        <w:jc w:val="both"/>
        <w:rPr>
          <w:rFonts w:ascii="Helvetica" w:hAnsi="Helvetica" w:cs="Helvetica"/>
          <w:lang w:eastAsia="es-CO"/>
        </w:rPr>
      </w:pPr>
    </w:p>
    <w:p w14:paraId="5BC807A8" w14:textId="77777777" w:rsidR="00851CB3" w:rsidRDefault="004714F5">
      <w:pPr>
        <w:numPr>
          <w:ilvl w:val="0"/>
          <w:numId w:val="14"/>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Costos Indirectos de la Compañía: Los costos indirectos de la compañía comprenden los gastos y costos de operar la organización como un todo y tienen que ser atendidos en todo momento para ofrecer al cliente la disponibilidad de los servicios. Estos gastos no se originan, ni son efectuados en virtud de un proyecto específico.</w:t>
      </w:r>
    </w:p>
    <w:p w14:paraId="23DA9DF0" w14:textId="77777777" w:rsidR="00851CB3" w:rsidRDefault="00851CB3">
      <w:pPr>
        <w:autoSpaceDE w:val="0"/>
        <w:spacing w:after="0"/>
        <w:ind w:left="720"/>
        <w:jc w:val="both"/>
        <w:rPr>
          <w:rFonts w:ascii="Helvetica" w:hAnsi="Helvetica" w:cs="Helvetica"/>
          <w:lang w:eastAsia="es-CO"/>
        </w:rPr>
      </w:pPr>
    </w:p>
    <w:p w14:paraId="14E9B4DD" w14:textId="77777777" w:rsidR="00851CB3" w:rsidRDefault="004714F5">
      <w:pPr>
        <w:numPr>
          <w:ilvl w:val="0"/>
          <w:numId w:val="16"/>
        </w:numPr>
        <w:suppressAutoHyphens w:val="0"/>
        <w:autoSpaceDE w:val="0"/>
        <w:spacing w:after="0"/>
        <w:jc w:val="both"/>
        <w:textAlignment w:val="auto"/>
      </w:pPr>
      <w:r>
        <w:rPr>
          <w:rFonts w:ascii="Helvetica" w:hAnsi="Helvetica" w:cs="Helvetica"/>
          <w:b/>
          <w:lang w:eastAsia="es-CO"/>
        </w:rPr>
        <w:t>Gastos Generales:</w:t>
      </w:r>
      <w:r>
        <w:rPr>
          <w:rFonts w:ascii="Helvetica" w:hAnsi="Helvetica" w:cs="Helvetica"/>
          <w:lang w:eastAsia="es-CO"/>
        </w:rPr>
        <w:t xml:space="preserve"> como guía se presenta la lista de costos que generalmente se incluyen como gastos generales.</w:t>
      </w:r>
    </w:p>
    <w:p w14:paraId="64CC505C" w14:textId="77777777" w:rsidR="00851CB3" w:rsidRDefault="00851CB3">
      <w:pPr>
        <w:autoSpaceDE w:val="0"/>
        <w:spacing w:after="0"/>
        <w:jc w:val="both"/>
        <w:rPr>
          <w:rFonts w:ascii="Helvetica" w:hAnsi="Helvetica" w:cs="Helvetica"/>
          <w:lang w:eastAsia="es-CO"/>
        </w:rPr>
      </w:pPr>
    </w:p>
    <w:p w14:paraId="0D33BD9B"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Alquiler de oficinas, muebles y equipo de oficina</w:t>
      </w:r>
    </w:p>
    <w:p w14:paraId="14FD912B"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Servicios públicos</w:t>
      </w:r>
    </w:p>
    <w:p w14:paraId="5EB6D864"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Papelería y útiles de oficina</w:t>
      </w:r>
    </w:p>
    <w:p w14:paraId="27984FE4"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Fotocopias</w:t>
      </w:r>
    </w:p>
    <w:p w14:paraId="193DB652" w14:textId="77777777" w:rsidR="00851CB3" w:rsidRDefault="004714F5">
      <w:pPr>
        <w:numPr>
          <w:ilvl w:val="0"/>
          <w:numId w:val="17"/>
        </w:numPr>
        <w:suppressAutoHyphens w:val="0"/>
        <w:spacing w:after="0"/>
        <w:ind w:left="1134" w:hanging="425"/>
        <w:jc w:val="both"/>
        <w:textAlignment w:val="auto"/>
        <w:rPr>
          <w:rFonts w:ascii="Helvetica" w:hAnsi="Helvetica" w:cs="Helvetica"/>
          <w:lang w:eastAsia="es-CO"/>
        </w:rPr>
      </w:pPr>
      <w:r>
        <w:rPr>
          <w:rFonts w:ascii="Helvetica" w:hAnsi="Helvetica" w:cs="Helvetica"/>
          <w:lang w:eastAsia="es-CO"/>
        </w:rPr>
        <w:lastRenderedPageBreak/>
        <w:t>Gastos bancarios</w:t>
      </w:r>
    </w:p>
    <w:p w14:paraId="6F882F1E"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Servicios médicos</w:t>
      </w:r>
    </w:p>
    <w:p w14:paraId="56848F1A"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Mantenimiento de oficinas</w:t>
      </w:r>
    </w:p>
    <w:p w14:paraId="3672C65E"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Alquiler, mantenimiento vehículos de administración y gerencia</w:t>
      </w:r>
    </w:p>
    <w:p w14:paraId="6C30C988"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Seguros incendio y robo</w:t>
      </w:r>
    </w:p>
    <w:p w14:paraId="26B047E4"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Asociaciones profesionales</w:t>
      </w:r>
    </w:p>
    <w:p w14:paraId="53C2B571"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Documentación técnica</w:t>
      </w:r>
    </w:p>
    <w:p w14:paraId="6FB7920E"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Revistas y publicaciones</w:t>
      </w:r>
    </w:p>
    <w:p w14:paraId="706B1367"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Entrenamiento de personal</w:t>
      </w:r>
    </w:p>
    <w:p w14:paraId="56D43B0C"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Representación y promoción</w:t>
      </w:r>
    </w:p>
    <w:p w14:paraId="26EA131A"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Preparación y edición de propuestas</w:t>
      </w:r>
    </w:p>
    <w:p w14:paraId="7CEB9AD1"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Gastos de viaje</w:t>
      </w:r>
    </w:p>
    <w:p w14:paraId="759F43FA"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Depreciación</w:t>
      </w:r>
    </w:p>
    <w:p w14:paraId="79FFB7FE" w14:textId="77777777" w:rsidR="00851CB3" w:rsidRDefault="004714F5">
      <w:pPr>
        <w:numPr>
          <w:ilvl w:val="0"/>
          <w:numId w:val="17"/>
        </w:numPr>
        <w:suppressAutoHyphens w:val="0"/>
        <w:autoSpaceDE w:val="0"/>
        <w:spacing w:after="0"/>
        <w:ind w:left="1134" w:hanging="425"/>
        <w:jc w:val="both"/>
        <w:textAlignment w:val="auto"/>
        <w:rPr>
          <w:rFonts w:ascii="Helvetica" w:hAnsi="Helvetica" w:cs="Helvetica"/>
          <w:lang w:eastAsia="es-CO"/>
        </w:rPr>
      </w:pPr>
      <w:r>
        <w:rPr>
          <w:rFonts w:ascii="Helvetica" w:hAnsi="Helvetica" w:cs="Helvetica"/>
          <w:lang w:eastAsia="es-CO"/>
        </w:rPr>
        <w:t>Costos de personal no facturable</w:t>
      </w:r>
    </w:p>
    <w:p w14:paraId="624273F2" w14:textId="77777777" w:rsidR="00851CB3" w:rsidRDefault="00851CB3">
      <w:pPr>
        <w:spacing w:after="0"/>
        <w:jc w:val="both"/>
        <w:rPr>
          <w:rFonts w:cs="Arial"/>
        </w:rPr>
      </w:pPr>
    </w:p>
    <w:p w14:paraId="2A6701AD" w14:textId="77777777" w:rsidR="00851CB3" w:rsidRDefault="004714F5">
      <w:pPr>
        <w:numPr>
          <w:ilvl w:val="0"/>
          <w:numId w:val="14"/>
        </w:numPr>
        <w:suppressAutoHyphens w:val="0"/>
        <w:autoSpaceDE w:val="0"/>
        <w:spacing w:after="0"/>
        <w:jc w:val="both"/>
        <w:textAlignment w:val="auto"/>
        <w:rPr>
          <w:rFonts w:ascii="Helvetica" w:hAnsi="Helvetica" w:cs="Helvetica"/>
          <w:lang w:eastAsia="es-CO"/>
        </w:rPr>
      </w:pPr>
      <w:r>
        <w:rPr>
          <w:rFonts w:ascii="Helvetica" w:hAnsi="Helvetica" w:cs="Helvetica"/>
          <w:lang w:eastAsia="es-CO"/>
        </w:rPr>
        <w:t>Honorarios</w:t>
      </w:r>
    </w:p>
    <w:p w14:paraId="4CB81FDD" w14:textId="77777777" w:rsidR="00851CB3" w:rsidRDefault="00851CB3">
      <w:pPr>
        <w:spacing w:after="0"/>
        <w:jc w:val="both"/>
        <w:rPr>
          <w:rFonts w:cs="Arial"/>
          <w:lang w:val="es-ES"/>
        </w:rPr>
      </w:pPr>
    </w:p>
    <w:p w14:paraId="4EAB4F34" w14:textId="77777777" w:rsidR="00851CB3" w:rsidRDefault="004714F5">
      <w:pPr>
        <w:autoSpaceDE w:val="0"/>
        <w:spacing w:after="0"/>
        <w:jc w:val="both"/>
        <w:rPr>
          <w:rFonts w:ascii="Helvetica-Bold" w:hAnsi="Helvetica-Bold" w:cs="Helvetica-Bold"/>
          <w:b/>
          <w:bCs/>
          <w:lang w:eastAsia="es-CO"/>
        </w:rPr>
      </w:pPr>
      <w:r>
        <w:rPr>
          <w:rFonts w:ascii="Helvetica-Bold" w:hAnsi="Helvetica-Bold" w:cs="Helvetica-Bold"/>
          <w:b/>
          <w:bCs/>
          <w:lang w:eastAsia="es-CO"/>
        </w:rPr>
        <w:t>ANÁLISIS DEL FACTOR MULTIPLICADOR PARA TODOS LOS CONCEPTOS SALARIALES</w:t>
      </w:r>
    </w:p>
    <w:p w14:paraId="1D0A69A4" w14:textId="77777777" w:rsidR="00851CB3" w:rsidRDefault="00851CB3">
      <w:pPr>
        <w:autoSpaceDE w:val="0"/>
        <w:spacing w:after="0"/>
        <w:jc w:val="both"/>
        <w:rPr>
          <w:rFonts w:ascii="Helvetica-Bold" w:hAnsi="Helvetica-Bold" w:cs="Helvetica-Bold"/>
          <w:b/>
          <w:bCs/>
          <w:lang w:eastAsia="es-CO"/>
        </w:rPr>
      </w:pPr>
    </w:p>
    <w:p w14:paraId="338373B3" w14:textId="77777777" w:rsidR="00851CB3" w:rsidRDefault="004714F5">
      <w:pPr>
        <w:autoSpaceDE w:val="0"/>
        <w:spacing w:after="0"/>
        <w:jc w:val="both"/>
      </w:pPr>
      <w:r>
        <w:rPr>
          <w:rFonts w:ascii="Helvetica" w:hAnsi="Helvetica" w:cs="Helvetica"/>
          <w:b/>
          <w:lang w:eastAsia="es-CO"/>
        </w:rPr>
        <w:t>1.</w:t>
      </w:r>
      <w:r>
        <w:rPr>
          <w:rFonts w:ascii="Helvetica" w:hAnsi="Helvetica" w:cs="Helvetica"/>
          <w:lang w:eastAsia="es-CO"/>
        </w:rPr>
        <w:t xml:space="preserve"> </w:t>
      </w:r>
      <w:r>
        <w:rPr>
          <w:rFonts w:ascii="Helvetica" w:hAnsi="Helvetica" w:cs="Helvetica"/>
          <w:b/>
          <w:lang w:eastAsia="es-CO"/>
        </w:rPr>
        <w:t xml:space="preserve">SUELDO ANUAL BÁSICO </w:t>
      </w:r>
      <w:r>
        <w:rPr>
          <w:rFonts w:ascii="Helvetica" w:hAnsi="Helvetica" w:cs="Helvetica"/>
          <w:b/>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100%</w:t>
      </w:r>
    </w:p>
    <w:p w14:paraId="54FA5991" w14:textId="77777777" w:rsidR="00851CB3" w:rsidRDefault="00851CB3">
      <w:pPr>
        <w:autoSpaceDE w:val="0"/>
        <w:spacing w:after="0"/>
        <w:jc w:val="both"/>
        <w:rPr>
          <w:rFonts w:ascii="Helvetica" w:hAnsi="Helvetica" w:cs="Helvetica"/>
          <w:lang w:eastAsia="es-CO"/>
        </w:rPr>
      </w:pPr>
    </w:p>
    <w:p w14:paraId="234AEAB7" w14:textId="77777777" w:rsidR="00851CB3" w:rsidRDefault="004714F5">
      <w:pPr>
        <w:autoSpaceDE w:val="0"/>
        <w:spacing w:after="0"/>
        <w:jc w:val="both"/>
      </w:pPr>
      <w:r>
        <w:rPr>
          <w:rFonts w:ascii="Helvetica" w:hAnsi="Helvetica" w:cs="Helvetica"/>
          <w:b/>
          <w:lang w:eastAsia="es-CO"/>
        </w:rPr>
        <w:t>2. PRESTACIONES SOCIALES</w:t>
      </w:r>
      <w:r>
        <w:rPr>
          <w:rFonts w:ascii="Helvetica" w:hAnsi="Helvetica" w:cs="Helvetica"/>
          <w:lang w:eastAsia="es-CO"/>
        </w:rPr>
        <w:t xml:space="preserve">                                                                           </w:t>
      </w:r>
    </w:p>
    <w:p w14:paraId="0C1B3C8F"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2.1 Prima anual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8.33%</w:t>
      </w:r>
    </w:p>
    <w:p w14:paraId="0BEEF7C5"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2.2 Cesantía anual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8.33%</w:t>
      </w:r>
    </w:p>
    <w:p w14:paraId="69A3EE6C"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2.2.1 Retroactividad cesantías (1)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Varía</w:t>
      </w:r>
    </w:p>
    <w:p w14:paraId="50FE855E"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2.3 Intereses a las cesantías (2)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Varía</w:t>
      </w:r>
    </w:p>
    <w:p w14:paraId="4F4F42B6"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2.4 Vacaciones anuales (3)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5.00%</w:t>
      </w:r>
    </w:p>
    <w:p w14:paraId="2EBF189C"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2.5 Seguridad social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Varía</w:t>
      </w:r>
    </w:p>
    <w:p w14:paraId="741FE000"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2.5.1 ATEP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Varía (4)</w:t>
      </w:r>
    </w:p>
    <w:p w14:paraId="05E15D36"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2.5.2 IVM (16 %, empleador ¾ de 16%)</w:t>
      </w:r>
    </w:p>
    <w:p w14:paraId="31C181D0"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2.5.3 EGM (12.5 %, empleador 2/3 de 12.5%)</w:t>
      </w:r>
    </w:p>
    <w:p w14:paraId="679DCDF2"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2.6 Subsidio familiar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4.00%</w:t>
      </w:r>
    </w:p>
    <w:p w14:paraId="2BF29E66"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2.7 SENA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2.00%</w:t>
      </w:r>
    </w:p>
    <w:p w14:paraId="15B36E99"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2.8 ICBF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3.00%</w:t>
      </w:r>
    </w:p>
    <w:p w14:paraId="1FA69842"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2.9 Seguros de ley (5)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0.50%</w:t>
      </w:r>
    </w:p>
    <w:p w14:paraId="552BEA0D"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2.10 Indemnización de ley (6)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Varía</w:t>
      </w:r>
    </w:p>
    <w:p w14:paraId="10BED8E8"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2.11 Otros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Varía</w:t>
      </w:r>
    </w:p>
    <w:p w14:paraId="0493EA24"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2.11.1 Incapacidad no cubierta seguridad social y medicina prepagada (6) </w:t>
      </w:r>
      <w:r>
        <w:rPr>
          <w:rFonts w:ascii="Helvetica" w:hAnsi="Helvetica" w:cs="Helvetica"/>
          <w:lang w:eastAsia="es-CO"/>
        </w:rPr>
        <w:tab/>
        <w:t>Varía</w:t>
      </w:r>
    </w:p>
    <w:p w14:paraId="398A20D9"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2.11.2 Dotación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0.75</w:t>
      </w:r>
    </w:p>
    <w:p w14:paraId="031B0066"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2.11.3 Auxilios varios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Varía</w:t>
      </w:r>
    </w:p>
    <w:p w14:paraId="3DEAFB2F" w14:textId="77777777" w:rsidR="00851CB3" w:rsidRDefault="004714F5">
      <w:pPr>
        <w:spacing w:after="0"/>
        <w:jc w:val="both"/>
        <w:rPr>
          <w:rFonts w:ascii="Helvetica" w:hAnsi="Helvetica" w:cs="Helvetica"/>
          <w:lang w:eastAsia="es-CO"/>
        </w:rPr>
      </w:pPr>
      <w:r>
        <w:rPr>
          <w:rFonts w:ascii="Helvetica" w:hAnsi="Helvetica" w:cs="Helvetica"/>
          <w:lang w:eastAsia="es-CO"/>
        </w:rPr>
        <w:t xml:space="preserve">2.11.4 Prestaciones extralegales </w:t>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Varía</w:t>
      </w:r>
    </w:p>
    <w:p w14:paraId="7AB30168" w14:textId="77777777" w:rsidR="00851CB3" w:rsidRDefault="00851CB3">
      <w:pPr>
        <w:autoSpaceDE w:val="0"/>
        <w:spacing w:after="0"/>
        <w:jc w:val="both"/>
        <w:rPr>
          <w:rFonts w:ascii="Helvetica" w:hAnsi="Helvetica" w:cs="Helvetica"/>
          <w:lang w:eastAsia="es-CO"/>
        </w:rPr>
      </w:pPr>
    </w:p>
    <w:p w14:paraId="4049E0A0" w14:textId="77777777" w:rsidR="00851CB3" w:rsidRDefault="004714F5">
      <w:pPr>
        <w:autoSpaceDE w:val="0"/>
        <w:spacing w:after="0"/>
        <w:jc w:val="both"/>
      </w:pPr>
      <w:r>
        <w:rPr>
          <w:rFonts w:ascii="Helvetica" w:hAnsi="Helvetica" w:cs="Helvetica"/>
          <w:b/>
          <w:lang w:eastAsia="es-CO"/>
        </w:rPr>
        <w:t xml:space="preserve">3. COSTOS INDIRECTOS </w:t>
      </w:r>
      <w:r>
        <w:rPr>
          <w:rFonts w:ascii="Helvetica" w:hAnsi="Helvetica" w:cs="Helvetica"/>
          <w:b/>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r>
      <w:r>
        <w:rPr>
          <w:rFonts w:ascii="Helvetica" w:hAnsi="Helvetica" w:cs="Helvetica"/>
          <w:lang w:eastAsia="es-CO"/>
        </w:rPr>
        <w:tab/>
        <w:t>Varía</w:t>
      </w:r>
    </w:p>
    <w:p w14:paraId="6D3B3F0D"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3.1 Gastos legales y de administración (6)</w:t>
      </w:r>
    </w:p>
    <w:p w14:paraId="14EEC944"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3.2 Gastos directos no reembolsables</w:t>
      </w:r>
    </w:p>
    <w:p w14:paraId="27ABECC7"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3.2.1 Arrendamiento oficinas</w:t>
      </w:r>
    </w:p>
    <w:p w14:paraId="09A7552E"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lastRenderedPageBreak/>
        <w:t>3.2.2 Servicios públicos</w:t>
      </w:r>
    </w:p>
    <w:p w14:paraId="737B72BD"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3.2.3 Mantenimiento y operación oficinas</w:t>
      </w:r>
    </w:p>
    <w:p w14:paraId="61EDC33B"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3.2.4 Útiles y papelería</w:t>
      </w:r>
    </w:p>
    <w:p w14:paraId="796790F6"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3.2.5 Gastos legales y bancarios</w:t>
      </w:r>
    </w:p>
    <w:p w14:paraId="1531281A"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3.2.6 Capacitación personal (cursos, congresos, seminarios)</w:t>
      </w:r>
    </w:p>
    <w:p w14:paraId="19DC354E"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3.2.7 Vigilancia y aseo</w:t>
      </w:r>
    </w:p>
    <w:p w14:paraId="2FF5AC3B"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3.2.8 Jubilaciones</w:t>
      </w:r>
    </w:p>
    <w:p w14:paraId="7EDD246D"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3.2.9 Gastos de transporte y vehículos</w:t>
      </w:r>
    </w:p>
    <w:p w14:paraId="04CB775E"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3.2.10 Revistas y publicaciones técnicas</w:t>
      </w:r>
    </w:p>
    <w:p w14:paraId="0CAEF7BD"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3.2.11 Actualización tecnológica (software, equipos, etc.)</w:t>
      </w:r>
    </w:p>
    <w:p w14:paraId="2F62D60B"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3.2.12 Afiliación a asociaciones profesionales</w:t>
      </w:r>
    </w:p>
    <w:p w14:paraId="7DBA294D"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3.2.13 Sistematización administración</w:t>
      </w:r>
    </w:p>
    <w:p w14:paraId="69CF6FD9"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3.3 Salarios y prestaciones no reembolsables</w:t>
      </w:r>
    </w:p>
    <w:p w14:paraId="5602C1DB"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3.3.1 Personal administrativo</w:t>
      </w:r>
    </w:p>
    <w:p w14:paraId="42D3C939"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3.3.2 Personal técnico no facturable</w:t>
      </w:r>
    </w:p>
    <w:p w14:paraId="51DB614E"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3.3.3 Personal técnico con sueldo por encima de topes</w:t>
      </w:r>
    </w:p>
    <w:p w14:paraId="6830BFC1"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3.3.4 Preparación de propuestas</w:t>
      </w:r>
    </w:p>
    <w:p w14:paraId="313947D3"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3.4 Otros gastos no reembolsables</w:t>
      </w:r>
    </w:p>
    <w:p w14:paraId="7D853507"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3.4.1 Costos capital de trabajo</w:t>
      </w:r>
    </w:p>
    <w:p w14:paraId="7A504367"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3.4.2 Seguros</w:t>
      </w:r>
    </w:p>
    <w:p w14:paraId="7436BBFA"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3.4.3 Relaciones públicas y gastos de representación</w:t>
      </w:r>
    </w:p>
    <w:p w14:paraId="72D665DF"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3.4.4 Depreciación instalaciones y equipos oficina</w:t>
      </w:r>
    </w:p>
    <w:p w14:paraId="260F0630"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3.5 Asesoría legal permanente (responsabilidad civil, penal, laboral, etc.)</w:t>
      </w:r>
    </w:p>
    <w:p w14:paraId="296D21C0" w14:textId="77777777" w:rsidR="00851CB3" w:rsidRDefault="00851CB3">
      <w:pPr>
        <w:autoSpaceDE w:val="0"/>
        <w:spacing w:after="0"/>
        <w:jc w:val="both"/>
        <w:rPr>
          <w:rFonts w:ascii="Helvetica" w:hAnsi="Helvetica" w:cs="Helvetica"/>
          <w:lang w:eastAsia="es-CO"/>
        </w:rPr>
      </w:pPr>
    </w:p>
    <w:p w14:paraId="5AB49312" w14:textId="77777777" w:rsidR="00851CB3" w:rsidRDefault="004714F5">
      <w:pPr>
        <w:autoSpaceDE w:val="0"/>
        <w:spacing w:after="0"/>
        <w:jc w:val="both"/>
        <w:rPr>
          <w:rFonts w:ascii="Helvetica" w:hAnsi="Helvetica" w:cs="Helvetica"/>
          <w:b/>
          <w:lang w:eastAsia="es-CO"/>
        </w:rPr>
      </w:pPr>
      <w:r>
        <w:rPr>
          <w:rFonts w:ascii="Helvetica" w:hAnsi="Helvetica" w:cs="Helvetica"/>
          <w:b/>
          <w:lang w:eastAsia="es-CO"/>
        </w:rPr>
        <w:t>4. HONORARIOS</w:t>
      </w:r>
    </w:p>
    <w:p w14:paraId="5C7B0EF3"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Varía entre el 10 y 40% del salario</w:t>
      </w:r>
    </w:p>
    <w:p w14:paraId="77F97251" w14:textId="77777777" w:rsidR="00851CB3" w:rsidRDefault="00851CB3">
      <w:pPr>
        <w:autoSpaceDE w:val="0"/>
        <w:spacing w:after="0"/>
        <w:jc w:val="both"/>
        <w:rPr>
          <w:rFonts w:ascii="Helvetica" w:hAnsi="Helvetica" w:cs="Helvetica"/>
          <w:lang w:eastAsia="es-CO"/>
        </w:rPr>
      </w:pPr>
    </w:p>
    <w:p w14:paraId="37A378CD" w14:textId="77777777" w:rsidR="00851CB3" w:rsidRPr="00327EDD" w:rsidRDefault="004714F5">
      <w:pPr>
        <w:autoSpaceDE w:val="0"/>
        <w:spacing w:after="0"/>
        <w:jc w:val="center"/>
        <w:rPr>
          <w:lang w:val="en-US"/>
        </w:rPr>
      </w:pPr>
      <w:r>
        <w:rPr>
          <w:rFonts w:ascii="Helvetica" w:hAnsi="Helvetica" w:cs="Helvetica"/>
          <w:b/>
          <w:lang w:val="en-US" w:eastAsia="es-CO"/>
        </w:rPr>
        <w:t>FM = 1 + 2 + 3 + 4</w:t>
      </w:r>
    </w:p>
    <w:p w14:paraId="155E0F31" w14:textId="77777777" w:rsidR="00851CB3" w:rsidRDefault="00851CB3">
      <w:pPr>
        <w:autoSpaceDE w:val="0"/>
        <w:spacing w:after="0"/>
        <w:jc w:val="both"/>
        <w:rPr>
          <w:rFonts w:ascii="Helvetica-Bold" w:hAnsi="Helvetica-Bold" w:cs="Helvetica-Bold"/>
          <w:b/>
          <w:bCs/>
          <w:lang w:val="en-US" w:eastAsia="es-CO"/>
        </w:rPr>
      </w:pPr>
    </w:p>
    <w:p w14:paraId="54797F8D" w14:textId="77777777" w:rsidR="00851CB3" w:rsidRDefault="004714F5">
      <w:pPr>
        <w:autoSpaceDE w:val="0"/>
        <w:spacing w:after="0"/>
        <w:jc w:val="both"/>
        <w:rPr>
          <w:rFonts w:ascii="Helvetica-Bold" w:hAnsi="Helvetica-Bold" w:cs="Helvetica-Bold"/>
          <w:b/>
          <w:bCs/>
          <w:lang w:val="en-US" w:eastAsia="es-CO"/>
        </w:rPr>
      </w:pPr>
      <w:r>
        <w:rPr>
          <w:rFonts w:ascii="Helvetica-Bold" w:hAnsi="Helvetica-Bold" w:cs="Helvetica-Bold"/>
          <w:b/>
          <w:bCs/>
          <w:lang w:val="en-US" w:eastAsia="es-CO"/>
        </w:rPr>
        <w:t>NOTAS:</w:t>
      </w:r>
    </w:p>
    <w:p w14:paraId="541F1944" w14:textId="77777777" w:rsidR="00851CB3" w:rsidRDefault="004714F5">
      <w:pPr>
        <w:autoSpaceDE w:val="0"/>
        <w:spacing w:after="0"/>
        <w:jc w:val="both"/>
        <w:rPr>
          <w:rFonts w:ascii="Helvetica" w:hAnsi="Helvetica" w:cs="Helvetica"/>
          <w:lang w:val="en-US" w:eastAsia="es-CO"/>
        </w:rPr>
      </w:pPr>
      <w:r>
        <w:rPr>
          <w:rFonts w:ascii="Helvetica" w:hAnsi="Helvetica" w:cs="Helvetica"/>
          <w:lang w:val="en-US" w:eastAsia="es-CO"/>
        </w:rPr>
        <w:t>(1) [</w:t>
      </w:r>
      <w:proofErr w:type="gramStart"/>
      <w:r>
        <w:rPr>
          <w:rFonts w:ascii="Helvetica" w:hAnsi="Helvetica" w:cs="Helvetica"/>
          <w:lang w:val="en-US" w:eastAsia="es-CO"/>
        </w:rPr>
        <w:t>n(</w:t>
      </w:r>
      <w:proofErr w:type="gramEnd"/>
      <w:r>
        <w:rPr>
          <w:rFonts w:ascii="Helvetica" w:hAnsi="Helvetica" w:cs="Helvetica"/>
          <w:lang w:val="en-US" w:eastAsia="es-CO"/>
        </w:rPr>
        <w:t>100)/12 – 100/(12x(1+i))]</w:t>
      </w:r>
    </w:p>
    <w:p w14:paraId="481925C3" w14:textId="77777777" w:rsidR="00851CB3" w:rsidRDefault="004714F5">
      <w:pPr>
        <w:autoSpaceDE w:val="0"/>
        <w:spacing w:after="0"/>
        <w:ind w:firstLine="426"/>
        <w:jc w:val="both"/>
        <w:rPr>
          <w:rFonts w:ascii="Helvetica" w:hAnsi="Helvetica" w:cs="Helvetica"/>
          <w:lang w:eastAsia="es-CO"/>
        </w:rPr>
      </w:pPr>
      <w:r>
        <w:rPr>
          <w:rFonts w:ascii="Helvetica" w:hAnsi="Helvetica" w:cs="Helvetica"/>
          <w:lang w:eastAsia="es-CO"/>
        </w:rPr>
        <w:t>n= Antigüedad promedio del personal de la firma</w:t>
      </w:r>
    </w:p>
    <w:p w14:paraId="07CA7E70" w14:textId="77777777" w:rsidR="00851CB3" w:rsidRDefault="004714F5">
      <w:pPr>
        <w:autoSpaceDE w:val="0"/>
        <w:spacing w:after="0"/>
        <w:ind w:firstLine="426"/>
        <w:jc w:val="both"/>
        <w:rPr>
          <w:rFonts w:ascii="Helvetica" w:hAnsi="Helvetica" w:cs="Helvetica"/>
          <w:lang w:eastAsia="es-CO"/>
        </w:rPr>
      </w:pPr>
      <w:r>
        <w:rPr>
          <w:rFonts w:ascii="Helvetica" w:hAnsi="Helvetica" w:cs="Helvetica"/>
          <w:lang w:eastAsia="es-CO"/>
        </w:rPr>
        <w:t>i= Reajuste salarial anual</w:t>
      </w:r>
    </w:p>
    <w:p w14:paraId="7E6144EF" w14:textId="77777777" w:rsidR="00851CB3" w:rsidRDefault="00851CB3">
      <w:pPr>
        <w:autoSpaceDE w:val="0"/>
        <w:spacing w:after="0"/>
        <w:jc w:val="both"/>
        <w:rPr>
          <w:rFonts w:ascii="Helvetica" w:hAnsi="Helvetica" w:cs="Helvetica"/>
          <w:lang w:eastAsia="es-CO"/>
        </w:rPr>
      </w:pPr>
    </w:p>
    <w:p w14:paraId="749E7224"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(2) 12% del valor de cesantías consolidadas a Dic. 31. Depende de cada empresa.</w:t>
      </w:r>
    </w:p>
    <w:p w14:paraId="7D8DCFE0"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(3) Son 15 días hábiles, que corresponden a 18 días calendario.</w:t>
      </w:r>
    </w:p>
    <w:p w14:paraId="446CCDDE"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(4) A manera de ejemplo: Para trabajo Consultoría.</w:t>
      </w:r>
    </w:p>
    <w:p w14:paraId="1D22A37A" w14:textId="77777777" w:rsidR="00851CB3" w:rsidRDefault="004714F5">
      <w:pPr>
        <w:autoSpaceDE w:val="0"/>
        <w:spacing w:after="0"/>
        <w:ind w:left="284"/>
        <w:jc w:val="both"/>
        <w:rPr>
          <w:rFonts w:ascii="Helvetica" w:hAnsi="Helvetica" w:cs="Helvetica"/>
          <w:lang w:eastAsia="es-CO"/>
        </w:rPr>
      </w:pPr>
      <w:r>
        <w:rPr>
          <w:rFonts w:ascii="Helvetica" w:hAnsi="Helvetica" w:cs="Helvetica"/>
          <w:lang w:eastAsia="es-CO"/>
        </w:rPr>
        <w:t xml:space="preserve">Clase V (Valor inicial: 6.69, valor máximo: 8.70) Trabajo Oficina Clase I (Valor inicial 0.522; valor máximo 0.696) </w:t>
      </w:r>
    </w:p>
    <w:p w14:paraId="54E65364"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 xml:space="preserve">(5) Varía entre 0 y 1 </w:t>
      </w:r>
    </w:p>
    <w:p w14:paraId="2319F587" w14:textId="77777777" w:rsidR="00851CB3" w:rsidRDefault="004714F5">
      <w:pPr>
        <w:autoSpaceDE w:val="0"/>
        <w:spacing w:after="0"/>
        <w:jc w:val="both"/>
        <w:rPr>
          <w:rFonts w:ascii="Helvetica" w:hAnsi="Helvetica" w:cs="Helvetica"/>
          <w:lang w:eastAsia="es-CO"/>
        </w:rPr>
      </w:pPr>
      <w:r>
        <w:rPr>
          <w:rFonts w:ascii="Helvetica" w:hAnsi="Helvetica" w:cs="Helvetica"/>
          <w:lang w:eastAsia="es-CO"/>
        </w:rPr>
        <w:t>(6) Depende de cada empresa.</w:t>
      </w:r>
    </w:p>
    <w:bookmarkEnd w:id="0"/>
    <w:p w14:paraId="35ECF97C" w14:textId="77777777" w:rsidR="00851CB3" w:rsidRDefault="00851CB3">
      <w:pPr>
        <w:widowControl w:val="0"/>
        <w:tabs>
          <w:tab w:val="left" w:pos="8789"/>
        </w:tabs>
        <w:autoSpaceDE w:val="0"/>
        <w:spacing w:after="0"/>
        <w:ind w:right="49"/>
        <w:jc w:val="both"/>
        <w:rPr>
          <w:rFonts w:cs="Arial"/>
          <w:color w:val="000000"/>
          <w:lang w:val="es-ES"/>
        </w:rPr>
      </w:pPr>
    </w:p>
    <w:p w14:paraId="5F2BE1C9" w14:textId="77777777" w:rsidR="00851CB3" w:rsidRDefault="00851CB3">
      <w:pPr>
        <w:keepNext/>
        <w:keepLines/>
        <w:jc w:val="center"/>
        <w:rPr>
          <w:lang w:val="es-ES"/>
        </w:rPr>
      </w:pPr>
    </w:p>
    <w:sectPr w:rsidR="00851CB3">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6D0A" w14:textId="77777777" w:rsidR="00B1284F" w:rsidRDefault="00B1284F">
      <w:pPr>
        <w:spacing w:after="0"/>
      </w:pPr>
      <w:r>
        <w:separator/>
      </w:r>
    </w:p>
  </w:endnote>
  <w:endnote w:type="continuationSeparator" w:id="0">
    <w:p w14:paraId="2CBA4CC4" w14:textId="77777777" w:rsidR="00B1284F" w:rsidRDefault="00B12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ubik Light">
    <w:altName w:val="Calibri"/>
    <w:panose1 w:val="020B0604020202020204"/>
    <w:charset w:val="00"/>
    <w:family w:val="auto"/>
    <w:pitch w:val="variable"/>
  </w:font>
  <w:font w:name="Rubik">
    <w:altName w:val="Calibri"/>
    <w:panose1 w:val="020B0604020202020204"/>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5" w:type="dxa"/>
      <w:tblCellMar>
        <w:left w:w="10" w:type="dxa"/>
        <w:right w:w="10" w:type="dxa"/>
      </w:tblCellMar>
      <w:tblLook w:val="0000" w:firstRow="0" w:lastRow="0" w:firstColumn="0" w:lastColumn="0" w:noHBand="0" w:noVBand="0"/>
    </w:tblPr>
    <w:tblGrid>
      <w:gridCol w:w="350"/>
      <w:gridCol w:w="1113"/>
      <w:gridCol w:w="350"/>
      <w:gridCol w:w="1241"/>
      <w:gridCol w:w="143"/>
      <w:gridCol w:w="207"/>
      <w:gridCol w:w="1311"/>
      <w:gridCol w:w="350"/>
      <w:gridCol w:w="1593"/>
      <w:gridCol w:w="2409"/>
      <w:gridCol w:w="1418"/>
    </w:tblGrid>
    <w:tr w:rsidR="006776D5" w14:paraId="0FB24F34" w14:textId="77777777">
      <w:tc>
        <w:tcPr>
          <w:tcW w:w="3197" w:type="dxa"/>
          <w:gridSpan w:val="5"/>
          <w:shd w:val="clear" w:color="auto" w:fill="auto"/>
          <w:tcMar>
            <w:top w:w="113" w:type="dxa"/>
            <w:left w:w="0" w:type="dxa"/>
            <w:bottom w:w="142" w:type="dxa"/>
            <w:right w:w="0" w:type="dxa"/>
          </w:tcMar>
          <w:vAlign w:val="center"/>
        </w:tcPr>
        <w:p w14:paraId="5F84B0B7" w14:textId="77777777" w:rsidR="006776D5" w:rsidRDefault="004714F5">
          <w:pPr>
            <w:pStyle w:val="Footer"/>
            <w:rPr>
              <w:color w:val="1C355E"/>
              <w:sz w:val="18"/>
              <w:szCs w:val="18"/>
            </w:rPr>
          </w:pPr>
          <w:r>
            <w:rPr>
              <w:color w:val="1C355E"/>
              <w:sz w:val="18"/>
              <w:szCs w:val="18"/>
            </w:rPr>
            <w:t>Código: F-DO-04</w:t>
          </w:r>
        </w:p>
      </w:tc>
      <w:tc>
        <w:tcPr>
          <w:tcW w:w="3461" w:type="dxa"/>
          <w:gridSpan w:val="4"/>
          <w:shd w:val="clear" w:color="auto" w:fill="auto"/>
          <w:tcMar>
            <w:top w:w="113" w:type="dxa"/>
            <w:left w:w="108" w:type="dxa"/>
            <w:bottom w:w="142" w:type="dxa"/>
            <w:right w:w="108" w:type="dxa"/>
          </w:tcMar>
          <w:vAlign w:val="center"/>
        </w:tcPr>
        <w:p w14:paraId="007C3F64" w14:textId="77777777" w:rsidR="006776D5" w:rsidRDefault="004714F5">
          <w:pPr>
            <w:pStyle w:val="Footer"/>
            <w:jc w:val="center"/>
            <w:rPr>
              <w:color w:val="1C355E"/>
              <w:sz w:val="18"/>
              <w:szCs w:val="18"/>
            </w:rPr>
          </w:pPr>
          <w:r>
            <w:rPr>
              <w:color w:val="1C355E"/>
              <w:sz w:val="18"/>
              <w:szCs w:val="18"/>
            </w:rPr>
            <w:t>Versión: 01</w:t>
          </w:r>
        </w:p>
      </w:tc>
      <w:tc>
        <w:tcPr>
          <w:tcW w:w="2409" w:type="dxa"/>
          <w:shd w:val="clear" w:color="auto" w:fill="auto"/>
          <w:tcMar>
            <w:top w:w="113" w:type="dxa"/>
            <w:left w:w="0" w:type="dxa"/>
            <w:bottom w:w="142" w:type="dxa"/>
            <w:right w:w="0" w:type="dxa"/>
          </w:tcMar>
        </w:tcPr>
        <w:p w14:paraId="399889D0" w14:textId="77777777" w:rsidR="006776D5" w:rsidRDefault="004714F5">
          <w:pPr>
            <w:pStyle w:val="Footer"/>
            <w:jc w:val="right"/>
            <w:rPr>
              <w:color w:val="1C355E"/>
              <w:sz w:val="18"/>
              <w:szCs w:val="18"/>
            </w:rPr>
          </w:pPr>
          <w:r>
            <w:rPr>
              <w:color w:val="1C355E"/>
              <w:sz w:val="18"/>
              <w:szCs w:val="18"/>
            </w:rPr>
            <w:t>Vigencia: 2020-10-20</w:t>
          </w:r>
        </w:p>
      </w:tc>
      <w:tc>
        <w:tcPr>
          <w:tcW w:w="1418" w:type="dxa"/>
          <w:shd w:val="clear" w:color="auto" w:fill="auto"/>
          <w:tcMar>
            <w:top w:w="0" w:type="dxa"/>
            <w:left w:w="108" w:type="dxa"/>
            <w:bottom w:w="0" w:type="dxa"/>
            <w:right w:w="108" w:type="dxa"/>
          </w:tcMar>
        </w:tcPr>
        <w:p w14:paraId="2BEBCA08" w14:textId="77777777" w:rsidR="006776D5" w:rsidRDefault="00B1284F">
          <w:pPr>
            <w:pStyle w:val="Footer"/>
            <w:jc w:val="right"/>
            <w:rPr>
              <w:color w:val="1C355E"/>
              <w:sz w:val="18"/>
              <w:szCs w:val="18"/>
            </w:rPr>
          </w:pPr>
        </w:p>
      </w:tc>
    </w:tr>
    <w:tr w:rsidR="006776D5" w14:paraId="025607F3" w14:textId="77777777">
      <w:tc>
        <w:tcPr>
          <w:tcW w:w="6658" w:type="dxa"/>
          <w:gridSpan w:val="9"/>
          <w:shd w:val="clear" w:color="auto" w:fill="auto"/>
          <w:tcMar>
            <w:top w:w="0" w:type="dxa"/>
            <w:left w:w="0" w:type="dxa"/>
            <w:bottom w:w="85" w:type="dxa"/>
            <w:right w:w="0" w:type="dxa"/>
          </w:tcMar>
          <w:vAlign w:val="center"/>
        </w:tcPr>
        <w:p w14:paraId="46953D81" w14:textId="77777777" w:rsidR="006776D5" w:rsidRDefault="004714F5">
          <w:pPr>
            <w:pStyle w:val="Footer"/>
            <w:rPr>
              <w:color w:val="1C355E"/>
              <w:sz w:val="20"/>
              <w:szCs w:val="20"/>
            </w:rPr>
          </w:pPr>
          <w:r>
            <w:rPr>
              <w:color w:val="1C355E"/>
              <w:sz w:val="20"/>
              <w:szCs w:val="20"/>
            </w:rPr>
            <w:t>Calle 26 # 13-19, Bogotá D.C., Colombia. Tel: (57)(1) 5940407</w:t>
          </w:r>
        </w:p>
        <w:p w14:paraId="66655FDE" w14:textId="77777777" w:rsidR="006776D5" w:rsidRDefault="004714F5">
          <w:pPr>
            <w:pStyle w:val="Footer"/>
            <w:rPr>
              <w:color w:val="1C355E"/>
              <w:sz w:val="20"/>
              <w:szCs w:val="20"/>
            </w:rPr>
          </w:pPr>
          <w:r>
            <w:rPr>
              <w:color w:val="1C355E"/>
              <w:sz w:val="20"/>
              <w:szCs w:val="20"/>
            </w:rPr>
            <w:t>Línea de transparencia: (57)(1)01 8000 914502</w:t>
          </w:r>
        </w:p>
        <w:p w14:paraId="5A1BB7F7" w14:textId="77777777" w:rsidR="006776D5" w:rsidRDefault="004714F5">
          <w:pPr>
            <w:pStyle w:val="Footer"/>
            <w:rPr>
              <w:color w:val="1C355E"/>
              <w:sz w:val="20"/>
              <w:szCs w:val="20"/>
            </w:rPr>
          </w:pPr>
          <w:r>
            <w:rPr>
              <w:color w:val="1C355E"/>
              <w:sz w:val="20"/>
              <w:szCs w:val="20"/>
            </w:rPr>
            <w:t>www.enterritorio.gov.co</w:t>
          </w:r>
        </w:p>
      </w:tc>
      <w:tc>
        <w:tcPr>
          <w:tcW w:w="2409" w:type="dxa"/>
          <w:shd w:val="clear" w:color="auto" w:fill="auto"/>
          <w:tcMar>
            <w:top w:w="0" w:type="dxa"/>
            <w:left w:w="0" w:type="dxa"/>
            <w:bottom w:w="0" w:type="dxa"/>
            <w:right w:w="0" w:type="dxa"/>
          </w:tcMar>
        </w:tcPr>
        <w:p w14:paraId="746D6348" w14:textId="77777777" w:rsidR="006776D5" w:rsidRDefault="004714F5">
          <w:pPr>
            <w:pStyle w:val="Footer"/>
            <w:jc w:val="center"/>
          </w:pPr>
          <w:r>
            <w:rPr>
              <w:noProof/>
              <w:color w:val="1C355E"/>
              <w:sz w:val="20"/>
              <w:szCs w:val="20"/>
              <w:lang w:eastAsia="es-CO"/>
            </w:rPr>
            <w:drawing>
              <wp:inline distT="0" distB="0" distL="0" distR="0" wp14:anchorId="4CD8B98A" wp14:editId="3152C2EE">
                <wp:extent cx="1318912" cy="467999"/>
                <wp:effectExtent l="0" t="0" r="0" b="8251"/>
                <wp:docPr id="4" name="Imagen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18912" cy="467999"/>
                        </a:xfrm>
                        <a:prstGeom prst="rect">
                          <a:avLst/>
                        </a:prstGeom>
                        <a:noFill/>
                        <a:ln>
                          <a:noFill/>
                          <a:prstDash/>
                        </a:ln>
                      </pic:spPr>
                    </pic:pic>
                  </a:graphicData>
                </a:graphic>
              </wp:inline>
            </w:drawing>
          </w:r>
        </w:p>
      </w:tc>
      <w:tc>
        <w:tcPr>
          <w:tcW w:w="1418" w:type="dxa"/>
          <w:shd w:val="clear" w:color="auto" w:fill="auto"/>
          <w:tcMar>
            <w:top w:w="0" w:type="dxa"/>
            <w:left w:w="108" w:type="dxa"/>
            <w:bottom w:w="0" w:type="dxa"/>
            <w:right w:w="108" w:type="dxa"/>
          </w:tcMar>
        </w:tcPr>
        <w:p w14:paraId="2386B838" w14:textId="77777777" w:rsidR="006776D5" w:rsidRDefault="00B1284F">
          <w:pPr>
            <w:pStyle w:val="Footer"/>
            <w:jc w:val="center"/>
            <w:rPr>
              <w:color w:val="1C355E"/>
              <w:sz w:val="20"/>
              <w:szCs w:val="20"/>
            </w:rPr>
          </w:pPr>
        </w:p>
      </w:tc>
    </w:tr>
    <w:tr w:rsidR="006776D5" w14:paraId="3B6508E4" w14:textId="77777777">
      <w:tc>
        <w:tcPr>
          <w:tcW w:w="350" w:type="dxa"/>
          <w:shd w:val="clear" w:color="auto" w:fill="auto"/>
          <w:tcMar>
            <w:top w:w="0" w:type="dxa"/>
            <w:left w:w="0" w:type="dxa"/>
            <w:bottom w:w="0" w:type="dxa"/>
            <w:right w:w="0" w:type="dxa"/>
          </w:tcMar>
          <w:vAlign w:val="center"/>
        </w:tcPr>
        <w:p w14:paraId="397BB352" w14:textId="77777777" w:rsidR="006776D5" w:rsidRDefault="004714F5">
          <w:pPr>
            <w:pStyle w:val="Footer"/>
          </w:pPr>
          <w:r>
            <w:rPr>
              <w:noProof/>
              <w:color w:val="1C355E"/>
              <w:sz w:val="20"/>
              <w:szCs w:val="20"/>
              <w:lang w:eastAsia="es-CO"/>
            </w:rPr>
            <w:drawing>
              <wp:inline distT="0" distB="0" distL="0" distR="0" wp14:anchorId="4F0CF3E2" wp14:editId="3EF5139F">
                <wp:extent cx="179999" cy="179999"/>
                <wp:effectExtent l="0" t="0" r="0" b="0"/>
                <wp:docPr id="5" name="Imagen 40" descr="Imagen que contiene objeto, kit de primeros auxili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79999" cy="179999"/>
                        </a:xfrm>
                        <a:prstGeom prst="rect">
                          <a:avLst/>
                        </a:prstGeom>
                        <a:noFill/>
                        <a:ln>
                          <a:noFill/>
                          <a:prstDash/>
                        </a:ln>
                      </pic:spPr>
                    </pic:pic>
                  </a:graphicData>
                </a:graphic>
              </wp:inline>
            </w:drawing>
          </w:r>
        </w:p>
      </w:tc>
      <w:tc>
        <w:tcPr>
          <w:tcW w:w="1113" w:type="dxa"/>
          <w:shd w:val="clear" w:color="auto" w:fill="auto"/>
          <w:tcMar>
            <w:top w:w="0" w:type="dxa"/>
            <w:left w:w="0" w:type="dxa"/>
            <w:bottom w:w="0" w:type="dxa"/>
            <w:right w:w="0" w:type="dxa"/>
          </w:tcMar>
          <w:vAlign w:val="center"/>
        </w:tcPr>
        <w:p w14:paraId="599B138D" w14:textId="77777777" w:rsidR="006776D5" w:rsidRDefault="004714F5">
          <w:pPr>
            <w:pStyle w:val="Footer"/>
            <w:rPr>
              <w:color w:val="1C355E"/>
              <w:sz w:val="18"/>
              <w:szCs w:val="18"/>
            </w:rPr>
          </w:pPr>
          <w:r>
            <w:rPr>
              <w:color w:val="1C355E"/>
              <w:sz w:val="18"/>
              <w:szCs w:val="18"/>
            </w:rPr>
            <w:t>@ENTerritorio</w:t>
          </w:r>
        </w:p>
      </w:tc>
      <w:tc>
        <w:tcPr>
          <w:tcW w:w="350" w:type="dxa"/>
          <w:shd w:val="clear" w:color="auto" w:fill="auto"/>
          <w:tcMar>
            <w:top w:w="0" w:type="dxa"/>
            <w:left w:w="0" w:type="dxa"/>
            <w:bottom w:w="0" w:type="dxa"/>
            <w:right w:w="0" w:type="dxa"/>
          </w:tcMar>
          <w:vAlign w:val="center"/>
        </w:tcPr>
        <w:p w14:paraId="2D49F2FF" w14:textId="77777777" w:rsidR="006776D5" w:rsidRDefault="004714F5">
          <w:pPr>
            <w:pStyle w:val="Footer"/>
          </w:pPr>
          <w:r>
            <w:rPr>
              <w:noProof/>
              <w:color w:val="1C355E"/>
              <w:sz w:val="20"/>
              <w:szCs w:val="20"/>
              <w:lang w:eastAsia="es-CO"/>
            </w:rPr>
            <w:drawing>
              <wp:inline distT="0" distB="0" distL="0" distR="0" wp14:anchorId="5AFE9187" wp14:editId="7321CEEB">
                <wp:extent cx="179999" cy="179999"/>
                <wp:effectExtent l="0" t="0" r="0" b="0"/>
                <wp:docPr id="6" name="Imagen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79999" cy="179999"/>
                        </a:xfrm>
                        <a:prstGeom prst="rect">
                          <a:avLst/>
                        </a:prstGeom>
                        <a:noFill/>
                        <a:ln>
                          <a:noFill/>
                          <a:prstDash/>
                        </a:ln>
                      </pic:spPr>
                    </pic:pic>
                  </a:graphicData>
                </a:graphic>
              </wp:inline>
            </w:drawing>
          </w:r>
        </w:p>
      </w:tc>
      <w:tc>
        <w:tcPr>
          <w:tcW w:w="1241" w:type="dxa"/>
          <w:shd w:val="clear" w:color="auto" w:fill="auto"/>
          <w:tcMar>
            <w:top w:w="0" w:type="dxa"/>
            <w:left w:w="0" w:type="dxa"/>
            <w:bottom w:w="0" w:type="dxa"/>
            <w:right w:w="0" w:type="dxa"/>
          </w:tcMar>
          <w:vAlign w:val="center"/>
        </w:tcPr>
        <w:p w14:paraId="08FBF443" w14:textId="77777777" w:rsidR="006776D5" w:rsidRDefault="004714F5">
          <w:pPr>
            <w:pStyle w:val="Footer"/>
            <w:rPr>
              <w:color w:val="1C355E"/>
              <w:sz w:val="18"/>
              <w:szCs w:val="18"/>
            </w:rPr>
          </w:pPr>
          <w:r>
            <w:rPr>
              <w:color w:val="1C355E"/>
              <w:sz w:val="18"/>
              <w:szCs w:val="18"/>
            </w:rPr>
            <w:t>@enterritorioco</w:t>
          </w:r>
        </w:p>
      </w:tc>
      <w:tc>
        <w:tcPr>
          <w:tcW w:w="350" w:type="dxa"/>
          <w:gridSpan w:val="2"/>
          <w:shd w:val="clear" w:color="auto" w:fill="auto"/>
          <w:tcMar>
            <w:top w:w="0" w:type="dxa"/>
            <w:left w:w="0" w:type="dxa"/>
            <w:bottom w:w="0" w:type="dxa"/>
            <w:right w:w="0" w:type="dxa"/>
          </w:tcMar>
          <w:vAlign w:val="center"/>
        </w:tcPr>
        <w:p w14:paraId="44D656BA" w14:textId="77777777" w:rsidR="006776D5" w:rsidRDefault="004714F5">
          <w:pPr>
            <w:pStyle w:val="Footer"/>
          </w:pPr>
          <w:r>
            <w:rPr>
              <w:noProof/>
              <w:color w:val="1C355E"/>
              <w:sz w:val="20"/>
              <w:szCs w:val="20"/>
              <w:lang w:eastAsia="es-CO"/>
            </w:rPr>
            <w:drawing>
              <wp:inline distT="0" distB="0" distL="0" distR="0" wp14:anchorId="730BF645" wp14:editId="2CF39A4C">
                <wp:extent cx="179999" cy="179999"/>
                <wp:effectExtent l="0" t="0" r="0" b="0"/>
                <wp:docPr id="7" name="Imagen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79999" cy="179999"/>
                        </a:xfrm>
                        <a:prstGeom prst="rect">
                          <a:avLst/>
                        </a:prstGeom>
                        <a:noFill/>
                        <a:ln>
                          <a:noFill/>
                          <a:prstDash/>
                        </a:ln>
                      </pic:spPr>
                    </pic:pic>
                  </a:graphicData>
                </a:graphic>
              </wp:inline>
            </w:drawing>
          </w:r>
        </w:p>
      </w:tc>
      <w:tc>
        <w:tcPr>
          <w:tcW w:w="1311" w:type="dxa"/>
          <w:shd w:val="clear" w:color="auto" w:fill="auto"/>
          <w:tcMar>
            <w:top w:w="0" w:type="dxa"/>
            <w:left w:w="0" w:type="dxa"/>
            <w:bottom w:w="0" w:type="dxa"/>
            <w:right w:w="0" w:type="dxa"/>
          </w:tcMar>
          <w:vAlign w:val="center"/>
        </w:tcPr>
        <w:p w14:paraId="6DC9F3BC" w14:textId="77777777" w:rsidR="006776D5" w:rsidRDefault="004714F5">
          <w:pPr>
            <w:pStyle w:val="Footer"/>
            <w:rPr>
              <w:color w:val="1C355E"/>
              <w:sz w:val="18"/>
              <w:szCs w:val="18"/>
            </w:rPr>
          </w:pPr>
          <w:r>
            <w:rPr>
              <w:color w:val="1C355E"/>
              <w:sz w:val="18"/>
              <w:szCs w:val="18"/>
            </w:rPr>
            <w:t>@ENTerritorioCo</w:t>
          </w:r>
        </w:p>
      </w:tc>
      <w:tc>
        <w:tcPr>
          <w:tcW w:w="350" w:type="dxa"/>
          <w:shd w:val="clear" w:color="auto" w:fill="auto"/>
          <w:tcMar>
            <w:top w:w="0" w:type="dxa"/>
            <w:left w:w="0" w:type="dxa"/>
            <w:bottom w:w="0" w:type="dxa"/>
            <w:right w:w="0" w:type="dxa"/>
          </w:tcMar>
          <w:vAlign w:val="center"/>
        </w:tcPr>
        <w:p w14:paraId="77986F26" w14:textId="77777777" w:rsidR="006776D5" w:rsidRDefault="004714F5">
          <w:pPr>
            <w:pStyle w:val="Footer"/>
          </w:pPr>
          <w:r>
            <w:rPr>
              <w:noProof/>
              <w:color w:val="1C355E"/>
              <w:sz w:val="20"/>
              <w:szCs w:val="20"/>
              <w:lang w:eastAsia="es-CO"/>
            </w:rPr>
            <w:drawing>
              <wp:inline distT="0" distB="0" distL="0" distR="0" wp14:anchorId="18731860" wp14:editId="127AC849">
                <wp:extent cx="179999" cy="179999"/>
                <wp:effectExtent l="0" t="0" r="0" b="0"/>
                <wp:docPr id="8" name="Imagen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79999" cy="179999"/>
                        </a:xfrm>
                        <a:prstGeom prst="rect">
                          <a:avLst/>
                        </a:prstGeom>
                        <a:noFill/>
                        <a:ln>
                          <a:noFill/>
                          <a:prstDash/>
                        </a:ln>
                      </pic:spPr>
                    </pic:pic>
                  </a:graphicData>
                </a:graphic>
              </wp:inline>
            </w:drawing>
          </w:r>
        </w:p>
      </w:tc>
      <w:tc>
        <w:tcPr>
          <w:tcW w:w="1593" w:type="dxa"/>
          <w:shd w:val="clear" w:color="auto" w:fill="auto"/>
          <w:tcMar>
            <w:top w:w="0" w:type="dxa"/>
            <w:left w:w="0" w:type="dxa"/>
            <w:bottom w:w="0" w:type="dxa"/>
            <w:right w:w="0" w:type="dxa"/>
          </w:tcMar>
          <w:vAlign w:val="center"/>
        </w:tcPr>
        <w:p w14:paraId="2DED0EC0" w14:textId="77777777" w:rsidR="006776D5" w:rsidRDefault="004714F5">
          <w:pPr>
            <w:pStyle w:val="Footer"/>
            <w:rPr>
              <w:color w:val="1C355E"/>
              <w:sz w:val="18"/>
              <w:szCs w:val="18"/>
            </w:rPr>
          </w:pPr>
          <w:r>
            <w:rPr>
              <w:color w:val="1C355E"/>
              <w:sz w:val="18"/>
              <w:szCs w:val="18"/>
            </w:rPr>
            <w:t>@ENTerritorioCo</w:t>
          </w:r>
        </w:p>
      </w:tc>
      <w:tc>
        <w:tcPr>
          <w:tcW w:w="2409" w:type="dxa"/>
          <w:shd w:val="clear" w:color="auto" w:fill="auto"/>
          <w:tcMar>
            <w:top w:w="0" w:type="dxa"/>
            <w:left w:w="0" w:type="dxa"/>
            <w:bottom w:w="0" w:type="dxa"/>
            <w:right w:w="0" w:type="dxa"/>
          </w:tcMar>
          <w:vAlign w:val="center"/>
        </w:tcPr>
        <w:p w14:paraId="7A5B9EA8" w14:textId="77777777" w:rsidR="006776D5" w:rsidRDefault="004714F5">
          <w:pPr>
            <w:pStyle w:val="Footer"/>
            <w:jc w:val="center"/>
          </w:pPr>
          <w:r>
            <w:rPr>
              <w:rFonts w:cs="Arial"/>
              <w:b/>
              <w:bCs/>
              <w:color w:val="000087"/>
              <w:sz w:val="14"/>
              <w:szCs w:val="14"/>
            </w:rPr>
            <w:t>NO. CERTIFICADO SG-2019001337</w:t>
          </w:r>
        </w:p>
      </w:tc>
      <w:tc>
        <w:tcPr>
          <w:tcW w:w="1418" w:type="dxa"/>
          <w:shd w:val="clear" w:color="auto" w:fill="auto"/>
          <w:tcMar>
            <w:top w:w="0" w:type="dxa"/>
            <w:left w:w="108" w:type="dxa"/>
            <w:bottom w:w="0" w:type="dxa"/>
            <w:right w:w="108" w:type="dxa"/>
          </w:tcMar>
          <w:vAlign w:val="center"/>
        </w:tcPr>
        <w:p w14:paraId="27E29B1A" w14:textId="77777777" w:rsidR="006776D5" w:rsidRDefault="004714F5">
          <w:pPr>
            <w:pStyle w:val="Footer"/>
            <w:jc w:val="center"/>
          </w:pPr>
          <w:r>
            <w:rPr>
              <w:color w:val="1C355E"/>
              <w:sz w:val="18"/>
              <w:szCs w:val="18"/>
            </w:rPr>
            <w:t xml:space="preserve">Pág. </w:t>
          </w:r>
          <w:r>
            <w:rPr>
              <w:color w:val="1C355E"/>
              <w:sz w:val="18"/>
              <w:szCs w:val="18"/>
            </w:rPr>
            <w:fldChar w:fldCharType="begin"/>
          </w:r>
          <w:r>
            <w:rPr>
              <w:color w:val="1C355E"/>
              <w:sz w:val="18"/>
              <w:szCs w:val="18"/>
            </w:rPr>
            <w:instrText xml:space="preserve"> PAGE \* ARABIC </w:instrText>
          </w:r>
          <w:r>
            <w:rPr>
              <w:color w:val="1C355E"/>
              <w:sz w:val="18"/>
              <w:szCs w:val="18"/>
            </w:rPr>
            <w:fldChar w:fldCharType="separate"/>
          </w:r>
          <w:r>
            <w:rPr>
              <w:color w:val="1C355E"/>
              <w:sz w:val="18"/>
              <w:szCs w:val="18"/>
            </w:rPr>
            <w:t>1</w:t>
          </w:r>
          <w:r>
            <w:rPr>
              <w:color w:val="1C355E"/>
              <w:sz w:val="18"/>
              <w:szCs w:val="18"/>
            </w:rPr>
            <w:fldChar w:fldCharType="end"/>
          </w:r>
          <w:r>
            <w:rPr>
              <w:color w:val="1C355E"/>
              <w:sz w:val="18"/>
              <w:szCs w:val="18"/>
            </w:rPr>
            <w:t xml:space="preserve"> de </w:t>
          </w:r>
          <w:r>
            <w:rPr>
              <w:color w:val="1C355E"/>
              <w:sz w:val="18"/>
              <w:szCs w:val="18"/>
            </w:rPr>
            <w:fldChar w:fldCharType="begin"/>
          </w:r>
          <w:r>
            <w:rPr>
              <w:color w:val="1C355E"/>
              <w:sz w:val="18"/>
              <w:szCs w:val="18"/>
            </w:rPr>
            <w:instrText xml:space="preserve"> NUMPAGES \* ARABIC </w:instrText>
          </w:r>
          <w:r>
            <w:rPr>
              <w:color w:val="1C355E"/>
              <w:sz w:val="18"/>
              <w:szCs w:val="18"/>
            </w:rPr>
            <w:fldChar w:fldCharType="separate"/>
          </w:r>
          <w:r>
            <w:rPr>
              <w:color w:val="1C355E"/>
              <w:sz w:val="18"/>
              <w:szCs w:val="18"/>
            </w:rPr>
            <w:t>2</w:t>
          </w:r>
          <w:r>
            <w:rPr>
              <w:color w:val="1C355E"/>
              <w:sz w:val="18"/>
              <w:szCs w:val="18"/>
            </w:rPr>
            <w:fldChar w:fldCharType="end"/>
          </w:r>
        </w:p>
      </w:tc>
    </w:tr>
  </w:tbl>
  <w:p w14:paraId="2E12E181" w14:textId="77777777" w:rsidR="006776D5" w:rsidRDefault="004714F5">
    <w:pPr>
      <w:pStyle w:val="Footer"/>
    </w:pPr>
    <w:r>
      <w:rPr>
        <w:noProof/>
        <w:color w:val="1C355E"/>
        <w:sz w:val="20"/>
        <w:szCs w:val="20"/>
        <w:lang w:eastAsia="es-CO"/>
      </w:rPr>
      <w:drawing>
        <wp:anchor distT="0" distB="0" distL="114300" distR="114300" simplePos="0" relativeHeight="251661312" behindDoc="0" locked="0" layoutInCell="1" allowOverlap="1" wp14:anchorId="0B624ED9" wp14:editId="55778265">
          <wp:simplePos x="0" y="0"/>
          <wp:positionH relativeFrom="page">
            <wp:posOffset>1271</wp:posOffset>
          </wp:positionH>
          <wp:positionV relativeFrom="paragraph">
            <wp:posOffset>111757</wp:posOffset>
          </wp:positionV>
          <wp:extent cx="7768586" cy="107954"/>
          <wp:effectExtent l="0" t="0" r="3814" b="6346"/>
          <wp:wrapNone/>
          <wp:docPr id="9" name="Imagen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alphaModFix amt="25000"/>
                  </a:blip>
                  <a:srcRect/>
                  <a:stretch>
                    <a:fillRect/>
                  </a:stretch>
                </pic:blipFill>
                <pic:spPr>
                  <a:xfrm flipV="1">
                    <a:off x="0" y="0"/>
                    <a:ext cx="7768586" cy="107954"/>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BB53" w14:textId="77777777" w:rsidR="00B1284F" w:rsidRDefault="00B1284F">
      <w:pPr>
        <w:spacing w:after="0"/>
      </w:pPr>
      <w:r>
        <w:rPr>
          <w:color w:val="000000"/>
        </w:rPr>
        <w:separator/>
      </w:r>
    </w:p>
  </w:footnote>
  <w:footnote w:type="continuationSeparator" w:id="0">
    <w:p w14:paraId="6DEBDE9D" w14:textId="77777777" w:rsidR="00B1284F" w:rsidRDefault="00B128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6776D5" w14:paraId="197DAD7F" w14:textId="77777777">
      <w:tc>
        <w:tcPr>
          <w:tcW w:w="5407" w:type="dxa"/>
          <w:shd w:val="clear" w:color="auto" w:fill="auto"/>
          <w:tcMar>
            <w:top w:w="0" w:type="dxa"/>
            <w:left w:w="0" w:type="dxa"/>
            <w:bottom w:w="0" w:type="dxa"/>
            <w:right w:w="0" w:type="dxa"/>
          </w:tcMar>
          <w:vAlign w:val="center"/>
        </w:tcPr>
        <w:p w14:paraId="1070655B" w14:textId="77777777" w:rsidR="006776D5" w:rsidRDefault="004714F5">
          <w:pPr>
            <w:pStyle w:val="Header"/>
          </w:pPr>
          <w:r>
            <w:rPr>
              <w:noProof/>
            </w:rPr>
            <w:drawing>
              <wp:inline distT="0" distB="0" distL="0" distR="0" wp14:anchorId="2EF7C4BB" wp14:editId="7242F952">
                <wp:extent cx="2448049" cy="411041"/>
                <wp:effectExtent l="0" t="0" r="9401" b="8059"/>
                <wp:docPr id="1" name="Imagen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48049" cy="411041"/>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42ED024A" w14:textId="77777777" w:rsidR="006776D5" w:rsidRDefault="004714F5">
          <w:pPr>
            <w:pStyle w:val="Header"/>
            <w:jc w:val="right"/>
          </w:pPr>
          <w:r>
            <w:rPr>
              <w:noProof/>
              <w:lang w:eastAsia="es-CO"/>
            </w:rPr>
            <w:drawing>
              <wp:inline distT="0" distB="0" distL="0" distR="0" wp14:anchorId="0E63B242" wp14:editId="21BA3E02">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575A819" w14:textId="77777777" w:rsidR="006776D5" w:rsidRDefault="004714F5">
    <w:pPr>
      <w:pStyle w:val="Header"/>
    </w:pPr>
    <w:r>
      <w:rPr>
        <w:noProof/>
        <w:lang w:eastAsia="es-CO"/>
      </w:rPr>
      <w:drawing>
        <wp:anchor distT="0" distB="0" distL="114300" distR="114300" simplePos="0" relativeHeight="251659264" behindDoc="0" locked="0" layoutInCell="1" allowOverlap="1" wp14:anchorId="00E996C4" wp14:editId="1C498DFC">
          <wp:simplePos x="0" y="0"/>
          <wp:positionH relativeFrom="column">
            <wp:posOffset>-1587228</wp:posOffset>
          </wp:positionH>
          <wp:positionV relativeFrom="paragraph">
            <wp:posOffset>4152175</wp:posOffset>
          </wp:positionV>
          <wp:extent cx="2097880" cy="192682"/>
          <wp:effectExtent l="99" t="18951" r="16769" b="16769"/>
          <wp:wrapNone/>
          <wp:docPr id="3"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524"/>
    <w:multiLevelType w:val="multilevel"/>
    <w:tmpl w:val="8C262868"/>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DC49F0"/>
    <w:multiLevelType w:val="multilevel"/>
    <w:tmpl w:val="8B863BB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1E56EE"/>
    <w:multiLevelType w:val="multilevel"/>
    <w:tmpl w:val="49BC4A2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D8F591C"/>
    <w:multiLevelType w:val="multilevel"/>
    <w:tmpl w:val="9354880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Heading9"/>
      <w:lvlText w:val="%9."/>
      <w:lvlJc w:val="left"/>
      <w:pPr>
        <w:ind w:left="1174" w:hanging="360"/>
      </w:pPr>
    </w:lvl>
  </w:abstractNum>
  <w:abstractNum w:abstractNumId="4" w15:restartNumberingAfterBreak="0">
    <w:nsid w:val="2D05658D"/>
    <w:multiLevelType w:val="multilevel"/>
    <w:tmpl w:val="1C78AFD0"/>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EE2578E"/>
    <w:multiLevelType w:val="multilevel"/>
    <w:tmpl w:val="305208D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2225A19"/>
    <w:multiLevelType w:val="multilevel"/>
    <w:tmpl w:val="70C0F1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D83A44"/>
    <w:multiLevelType w:val="multilevel"/>
    <w:tmpl w:val="F5847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447953"/>
    <w:multiLevelType w:val="multilevel"/>
    <w:tmpl w:val="53847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D2147C"/>
    <w:multiLevelType w:val="multilevel"/>
    <w:tmpl w:val="38BE1EB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2EF6DD5"/>
    <w:multiLevelType w:val="multilevel"/>
    <w:tmpl w:val="9AB2114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4D83704"/>
    <w:multiLevelType w:val="multilevel"/>
    <w:tmpl w:val="C9845C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D35137"/>
    <w:multiLevelType w:val="multilevel"/>
    <w:tmpl w:val="C2BC400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A05787"/>
    <w:multiLevelType w:val="multilevel"/>
    <w:tmpl w:val="451243C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73B6661F"/>
    <w:multiLevelType w:val="multilevel"/>
    <w:tmpl w:val="0C7C3F0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782A33BC"/>
    <w:multiLevelType w:val="multilevel"/>
    <w:tmpl w:val="FD84338C"/>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DA60C48"/>
    <w:multiLevelType w:val="multilevel"/>
    <w:tmpl w:val="D2743B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abstractNumId w:val="3"/>
  </w:num>
  <w:num w:numId="2">
    <w:abstractNumId w:val="16"/>
  </w:num>
  <w:num w:numId="3">
    <w:abstractNumId w:val="13"/>
  </w:num>
  <w:num w:numId="4">
    <w:abstractNumId w:val="1"/>
  </w:num>
  <w:num w:numId="5">
    <w:abstractNumId w:val="0"/>
  </w:num>
  <w:num w:numId="6">
    <w:abstractNumId w:val="9"/>
  </w:num>
  <w:num w:numId="7">
    <w:abstractNumId w:val="2"/>
  </w:num>
  <w:num w:numId="8">
    <w:abstractNumId w:val="10"/>
  </w:num>
  <w:num w:numId="9">
    <w:abstractNumId w:val="14"/>
  </w:num>
  <w:num w:numId="10">
    <w:abstractNumId w:val="12"/>
  </w:num>
  <w:num w:numId="11">
    <w:abstractNumId w:val="5"/>
  </w:num>
  <w:num w:numId="12">
    <w:abstractNumId w:val="8"/>
  </w:num>
  <w:num w:numId="13">
    <w:abstractNumId w:val="11"/>
  </w:num>
  <w:num w:numId="14">
    <w:abstractNumId w:val="6"/>
  </w:num>
  <w:num w:numId="15">
    <w:abstractNumId w:val="15"/>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B3"/>
    <w:rsid w:val="00327EDD"/>
    <w:rsid w:val="004714F5"/>
    <w:rsid w:val="00851CB3"/>
    <w:rsid w:val="00A31D52"/>
    <w:rsid w:val="00B1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D748"/>
  <w15:docId w15:val="{BE5FFC76-94AA-496F-BA67-0FE42438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Heading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Heading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Heading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Heading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Heading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Heading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Heading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Heading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Heading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character" w:customStyle="1" w:styleId="Ttulo1Car">
    <w:name w:val="Título 1 Car"/>
    <w:basedOn w:val="DefaultParagraphFont"/>
    <w:rPr>
      <w:rFonts w:ascii="Calibri" w:hAnsi="Calibri" w:cs="Rubik Light"/>
      <w:color w:val="1C355E"/>
      <w:sz w:val="48"/>
      <w:lang w:val="es-CO" w:eastAsia="es-ES"/>
    </w:rPr>
  </w:style>
  <w:style w:type="character" w:customStyle="1" w:styleId="Ttulo2Car">
    <w:name w:val="Título 2 Car"/>
    <w:basedOn w:val="DefaultParagraphFont"/>
    <w:rPr>
      <w:rFonts w:ascii="Calibri" w:hAnsi="Calibri" w:cs="Rubik"/>
      <w:color w:val="1C355E"/>
      <w:sz w:val="40"/>
      <w:szCs w:val="52"/>
      <w:lang w:eastAsia="es-ES"/>
    </w:rPr>
  </w:style>
  <w:style w:type="paragraph" w:styleId="NoSpacing">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DefaultParagraphFont"/>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DefaultParagraphFont"/>
    <w:rPr>
      <w:rFonts w:ascii="Calibri" w:hAnsi="Calibri" w:cs="Segoe UI Semilight"/>
      <w:color w:val="3B3B3B"/>
      <w:sz w:val="24"/>
      <w:lang w:val="es-ES" w:eastAsia="es-ES"/>
    </w:rPr>
  </w:style>
  <w:style w:type="character" w:customStyle="1" w:styleId="ConocenosCar">
    <w:name w:val="Conocenos Car"/>
    <w:basedOn w:val="DefaultParagraphFont"/>
    <w:rPr>
      <w:rFonts w:ascii="Rubik Light" w:hAnsi="Rubik Light" w:cs="Rubik Light"/>
      <w:color w:val="5C5C5C"/>
      <w:sz w:val="32"/>
      <w:szCs w:val="32"/>
      <w:lang w:val="es-ES" w:eastAsia="es-ES"/>
    </w:rPr>
  </w:style>
  <w:style w:type="character" w:customStyle="1" w:styleId="Ttulo3Car">
    <w:name w:val="Título 3 Car"/>
    <w:basedOn w:val="DefaultParagraphFont"/>
    <w:rPr>
      <w:rFonts w:ascii="Calibri" w:eastAsia="Times New Roman" w:hAnsi="Calibri" w:cs="Times New Roman"/>
      <w:color w:val="1C355E"/>
      <w:sz w:val="36"/>
      <w:szCs w:val="24"/>
      <w:lang w:val="es-CO" w:eastAsia="es-ES"/>
    </w:rPr>
  </w:style>
  <w:style w:type="character" w:customStyle="1" w:styleId="Ttulo4Car">
    <w:name w:val="Título 4 Car"/>
    <w:basedOn w:val="DefaultParagraphFont"/>
    <w:rPr>
      <w:rFonts w:ascii="Calibri" w:eastAsia="Times New Roman" w:hAnsi="Calibri" w:cs="Times New Roman"/>
      <w:iCs/>
      <w:color w:val="1C355E"/>
      <w:sz w:val="32"/>
      <w:lang w:val="es-CO" w:eastAsia="es-ES"/>
    </w:rPr>
  </w:style>
  <w:style w:type="character" w:customStyle="1" w:styleId="Ttulo5Car">
    <w:name w:val="Título 5 Car"/>
    <w:basedOn w:val="DefaultParagraphFont"/>
    <w:rPr>
      <w:rFonts w:ascii="Calibri" w:eastAsia="Times New Roman" w:hAnsi="Calibri" w:cs="Times New Roman"/>
      <w:color w:val="1C355E"/>
      <w:sz w:val="28"/>
      <w:lang w:val="es-CO" w:eastAsia="es-ES"/>
    </w:rPr>
  </w:style>
  <w:style w:type="character" w:customStyle="1" w:styleId="Ttulo6Car">
    <w:name w:val="Título 6 Car"/>
    <w:basedOn w:val="DefaultParagraphFont"/>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NoSpacing"/>
    <w:rPr>
      <w:rFonts w:ascii="Rubik Light" w:hAnsi="Rubik Light" w:cs="Rubik Light"/>
      <w:iCs/>
      <w:color w:val="616161"/>
      <w:sz w:val="16"/>
      <w:szCs w:val="16"/>
    </w:rPr>
  </w:style>
  <w:style w:type="character" w:customStyle="1" w:styleId="NormalDetalleNivel7Car">
    <w:name w:val="Normal | Detalle Nivel 7 Car"/>
    <w:basedOn w:val="DefaultParagraphFont"/>
    <w:rPr>
      <w:rFonts w:ascii="Rubik Light" w:hAnsi="Rubik Light" w:cs="Rubik Light"/>
      <w:color w:val="616161"/>
      <w:sz w:val="24"/>
      <w:lang w:val="es-ES" w:eastAsia="es-ES"/>
    </w:rPr>
  </w:style>
  <w:style w:type="character" w:customStyle="1" w:styleId="NormalCondicionesCar">
    <w:name w:val="Normal | Condiciones Car"/>
    <w:basedOn w:val="DefaultParagraphFont"/>
    <w:rPr>
      <w:rFonts w:ascii="Rubik Light" w:hAnsi="Rubik Light" w:cs="Rubik Light"/>
      <w:iCs/>
      <w:color w:val="616161"/>
      <w:sz w:val="16"/>
      <w:szCs w:val="16"/>
      <w:lang w:val="es-ES" w:eastAsia="es-ES"/>
    </w:rPr>
  </w:style>
  <w:style w:type="character" w:customStyle="1" w:styleId="Ttulo7Car">
    <w:name w:val="Título 7 Car"/>
    <w:basedOn w:val="DefaultParagraphFont"/>
    <w:rPr>
      <w:rFonts w:ascii="Calibri" w:hAnsi="Calibri" w:cs="Rubik Light"/>
      <w:color w:val="1C355E"/>
      <w:sz w:val="24"/>
      <w:lang w:val="es-CO" w:eastAsia="es-ES"/>
    </w:rPr>
  </w:style>
  <w:style w:type="character" w:customStyle="1" w:styleId="Ttulo8Car">
    <w:name w:val="Título 8 Car"/>
    <w:basedOn w:val="DefaultParagraphFont"/>
    <w:rPr>
      <w:rFonts w:ascii="Calibri" w:hAnsi="Calibri" w:cs="Rubik Light"/>
      <w:color w:val="1C355E"/>
      <w:sz w:val="24"/>
      <w:lang w:val="es-CO" w:eastAsia="es-ES"/>
    </w:rPr>
  </w:style>
  <w:style w:type="character" w:customStyle="1" w:styleId="Ttulo9Car">
    <w:name w:val="Título 9 Car"/>
    <w:basedOn w:val="DefaultParagraphFont"/>
    <w:rPr>
      <w:rFonts w:ascii="Rubik Light" w:eastAsia="Times New Roman" w:hAnsi="Rubik Light" w:cs="Times New Roman"/>
      <w:iCs/>
      <w:color w:val="616161"/>
      <w:sz w:val="24"/>
      <w:szCs w:val="21"/>
      <w:lang w:val="es-ES" w:eastAsia="es-ES"/>
    </w:rPr>
  </w:style>
  <w:style w:type="paragraph" w:styleId="Header">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DefaultParagraphFont"/>
    <w:rPr>
      <w:rFonts w:ascii="Rubik Light" w:hAnsi="Rubik Light" w:cs="Rubik Light"/>
      <w:color w:val="616161"/>
      <w:sz w:val="24"/>
      <w:lang w:val="es-ES" w:eastAsia="es-ES"/>
    </w:rPr>
  </w:style>
  <w:style w:type="paragraph" w:styleId="Footer">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DefaultParagraphFont"/>
    <w:rPr>
      <w:rFonts w:ascii="Rubik Light" w:hAnsi="Rubik Light" w:cs="Rubik Light"/>
      <w:color w:val="616161"/>
      <w:sz w:val="24"/>
      <w:lang w:val="es-ES" w:eastAsia="es-ES"/>
    </w:rPr>
  </w:style>
  <w:style w:type="character" w:styleId="Hyperlink">
    <w:name w:val="Hyperlink"/>
    <w:basedOn w:val="DefaultParagraphFont"/>
    <w:rPr>
      <w:color w:val="4AA8DE"/>
      <w:u w:val="single"/>
    </w:rPr>
  </w:style>
  <w:style w:type="character" w:styleId="UnresolvedMention">
    <w:name w:val="Unresolved Mention"/>
    <w:basedOn w:val="DefaultParagraphFont"/>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DefaultParagraphFont"/>
    <w:rPr>
      <w:rFonts w:ascii="Rubik Light" w:hAnsi="Rubik Light" w:cs="Rubik Light"/>
      <w:color w:val="5C5C5C"/>
      <w:sz w:val="24"/>
      <w:lang w:val="es-CO" w:eastAsia="es-ES"/>
    </w:rPr>
  </w:style>
  <w:style w:type="paragraph" w:styleId="ListParagraph">
    <w:name w:val="List Paragraph"/>
    <w:basedOn w:val="Normal"/>
    <w:pPr>
      <w:spacing w:after="200"/>
      <w:ind w:left="720"/>
      <w:textAlignment w:val="auto"/>
    </w:pPr>
    <w:rPr>
      <w:rFonts w:ascii="Calibri" w:eastAsia="Segoe UI" w:hAnsi="Calibri" w:cs="Rubik Light"/>
      <w:color w:val="3B3B3B"/>
      <w:sz w:val="24"/>
      <w:szCs w:val="22"/>
      <w:lang w:eastAsia="es-ES"/>
    </w:rPr>
  </w:style>
  <w:style w:type="character" w:styleId="PlaceholderText">
    <w:name w:val="Placeholder Text"/>
    <w:basedOn w:val="DefaultParagraphFont"/>
    <w:rPr>
      <w:color w:val="808080"/>
    </w:rPr>
  </w:style>
  <w:style w:type="character" w:customStyle="1" w:styleId="MAYSCULAS">
    <w:name w:val="MAYÚSCULAS"/>
    <w:basedOn w:val="DefaultParagraphFont"/>
    <w:rPr>
      <w:rFonts w:ascii="Calibri" w:hAnsi="Calibri"/>
      <w:caps/>
      <w:smallCaps w:val="0"/>
      <w:sz w:val="24"/>
    </w:rPr>
  </w:style>
  <w:style w:type="character" w:customStyle="1" w:styleId="RADs">
    <w:name w:val="RAD_s"/>
    <w:basedOn w:val="DefaultParagraphFont"/>
    <w:rPr>
      <w:rFonts w:ascii="Calibri" w:hAnsi="Calibri"/>
      <w:b/>
      <w:sz w:val="52"/>
    </w:rPr>
  </w:style>
  <w:style w:type="character" w:customStyle="1" w:styleId="Estilo1">
    <w:name w:val="Estilo1"/>
    <w:basedOn w:val="DefaultParagraphFont"/>
    <w:rPr>
      <w:caps/>
    </w:rPr>
  </w:style>
  <w:style w:type="character" w:customStyle="1" w:styleId="MayusculaCar">
    <w:name w:val="Mayuscula Car"/>
    <w:basedOn w:val="DefaultParagraphFont"/>
    <w:rPr>
      <w:rFonts w:ascii="Arial" w:eastAsia="Times New Roman" w:hAnsi="Arial" w:cs="Times New Roman"/>
      <w:caps/>
      <w:sz w:val="22"/>
    </w:rPr>
  </w:style>
  <w:style w:type="paragraph" w:styleId="BalloonText">
    <w:name w:val="Balloon Text"/>
    <w:basedOn w:val="Normal"/>
    <w:pPr>
      <w:spacing w:after="0"/>
    </w:pPr>
    <w:rPr>
      <w:rFonts w:ascii="Tahoma" w:hAnsi="Tahoma" w:cs="Tahoma"/>
      <w:sz w:val="16"/>
      <w:szCs w:val="16"/>
    </w:rPr>
  </w:style>
  <w:style w:type="character" w:customStyle="1" w:styleId="TextodegloboCar">
    <w:name w:val="Texto de globo Car"/>
    <w:basedOn w:val="DefaultParagraphFont"/>
    <w:rPr>
      <w:rFonts w:ascii="Tahoma" w:eastAsia="Calibri" w:hAnsi="Tahoma" w:cs="Tahoma"/>
      <w:sz w:val="16"/>
      <w:szCs w:val="16"/>
      <w:lang w:val="es-CO"/>
    </w:rPr>
  </w:style>
  <w:style w:type="character" w:customStyle="1" w:styleId="PrrafodelistaCar">
    <w:name w:val="Párrafo de lista Car"/>
    <w:rPr>
      <w:rFonts w:ascii="Calibri" w:hAnsi="Calibri" w:cs="Rubik Light"/>
      <w:color w:val="3B3B3B"/>
      <w:sz w:val="24"/>
      <w:lang w:val="es-CO" w:eastAsia="es-ES"/>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2.%20ENTerritorio-Plantilla-FAP%20(002)</Template>
  <TotalTime>1</TotalTime>
  <Pages>4</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Forero Lopez, Jessica</cp:lastModifiedBy>
  <cp:revision>3</cp:revision>
  <cp:lastPrinted>2019-12-16T20:34:00Z</cp:lastPrinted>
  <dcterms:created xsi:type="dcterms:W3CDTF">2021-06-30T19:33:00Z</dcterms:created>
  <dcterms:modified xsi:type="dcterms:W3CDTF">2021-11-24T20:06:00Z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