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741FFDC2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</w:t>
      </w:r>
      <w:r w:rsidR="00BF7695" w:rsidRPr="00BF7695">
        <w:t xml:space="preserve"> </w:t>
      </w:r>
      <w:r w:rsidR="00BF7695" w:rsidRPr="00BF7695">
        <w:rPr>
          <w:rFonts w:ascii="Arial" w:eastAsia="Calibri" w:hAnsi="Arial" w:cs="Arial"/>
          <w:bCs/>
          <w:lang w:val="es-ES" w:eastAsia="es-ES"/>
        </w:rPr>
        <w:t>INA-007-2021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14948F34" w14:textId="3D180D8F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OBJETO</w:t>
      </w:r>
      <w:r w:rsidR="00197C14" w:rsidRPr="00197C14">
        <w:rPr>
          <w:rFonts w:ascii="Arial" w:eastAsia="Calibri" w:hAnsi="Arial" w:cs="Arial"/>
          <w:b/>
          <w:bCs/>
          <w:lang w:val="es-ES" w:eastAsia="es-ES"/>
        </w:rPr>
        <w:t>: </w:t>
      </w:r>
      <w:r w:rsidR="00BF7695" w:rsidRPr="00BF7695">
        <w:rPr>
          <w:rFonts w:ascii="Arial" w:eastAsia="Calibri" w:hAnsi="Arial" w:cs="Arial"/>
          <w:bCs/>
          <w:lang w:val="es-ES" w:eastAsia="es-ES"/>
        </w:rPr>
        <w:t>INA-007-2021</w:t>
      </w:r>
    </w:p>
    <w:p w14:paraId="2B3F2882" w14:textId="50DFE95E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7102037E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bookmarkStart w:id="0" w:name="_GoBack"/>
      <w:r w:rsidR="00BF7695" w:rsidRPr="00BF7695">
        <w:rPr>
          <w:rFonts w:ascii="Arial" w:eastAsia="Calibri" w:hAnsi="Arial" w:cs="Arial"/>
          <w:bCs/>
          <w:lang w:val="es-ES" w:eastAsia="es-ES"/>
        </w:rPr>
        <w:t>“INTERVENTORIA TÉCNICA, ADMINISTRATIVA, SOCIAL, AMBIENTAL, JURÍDICA Y DE CONTROL PRESUPUESTAL PARA LA ELABORACIÓN DE LOS DISEÑOS DE LAS MEDIDAS DE SEGURIDAD VIAL DENTRO DEL PROGRAMA PEQUEÑAS GRANDES OBRAS PGO III”.</w:t>
      </w:r>
    </w:p>
    <w:bookmarkEnd w:id="0"/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19A3356" w14:textId="33B02A75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8599789" w14:textId="70170BC1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3F2AD2AA" w14:textId="68E09ECB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C38C630" w14:textId="7917DD40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38FDAD6" w14:textId="60CAFD83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6C6626" w14:textId="6797BEA8" w:rsidR="002C4042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437A20BA" w14:textId="77777777" w:rsidR="002C4042" w:rsidRPr="00197C14" w:rsidRDefault="002C404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lastRenderedPageBreak/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77D5CE86" w14:textId="5D1F6546" w:rsidR="00D91BD2" w:rsidRDefault="00D91BD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187D25DF" w14:textId="77777777" w:rsidR="00B725CB" w:rsidRPr="00197C14" w:rsidRDefault="00B72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CA9BB81" w14:textId="142294A9" w:rsidR="009F2186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p w14:paraId="0DADD729" w14:textId="61240979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3E8C4F08" w14:textId="27C0CB36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A40A046" w14:textId="0C51661D" w:rsidR="00B725CB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9C7215B" w14:textId="77777777" w:rsidR="00B725CB" w:rsidRPr="00197C14" w:rsidRDefault="00B725C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8B097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D5F51F2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F236" w14:textId="77777777" w:rsidR="00AD61CC" w:rsidRDefault="00AD61CC" w:rsidP="00506AD4">
      <w:pPr>
        <w:spacing w:after="0" w:line="240" w:lineRule="auto"/>
      </w:pPr>
      <w:r>
        <w:separator/>
      </w:r>
    </w:p>
  </w:endnote>
  <w:endnote w:type="continuationSeparator" w:id="0">
    <w:p w14:paraId="10331196" w14:textId="77777777" w:rsidR="00AD61CC" w:rsidRDefault="00AD61CC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6080AFD7" w14:textId="3EC092F1" w:rsidR="002C4042" w:rsidRDefault="002C4042" w:rsidP="002C4042">
    <w:pPr>
      <w:pStyle w:val="Piedepgina"/>
      <w:rPr>
        <w:color w:val="4472C4" w:themeColor="accent1"/>
        <w:lang w:val="es-ES"/>
      </w:rPr>
    </w:pPr>
    <w:r>
      <w:rPr>
        <w:color w:val="4472C4" w:themeColor="accent1"/>
        <w:lang w:val="es-ES"/>
      </w:rPr>
      <w:t>Versión: 1                                                                                                                        Vigencia:2020-07-01</w:t>
    </w:r>
  </w:p>
  <w:p w14:paraId="7E799EC1" w14:textId="06F4894E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BF7695" w:rsidRPr="00BF7695">
      <w:rPr>
        <w:noProof/>
        <w:color w:val="4472C4" w:themeColor="accent1"/>
        <w:lang w:val="es-ES"/>
      </w:rPr>
      <w:t>4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BF7695" w:rsidRPr="00BF7695">
      <w:rPr>
        <w:noProof/>
        <w:color w:val="4472C4" w:themeColor="accent1"/>
        <w:lang w:val="es-ES"/>
      </w:rPr>
      <w:t>4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861B" w14:textId="77777777" w:rsidR="00AD61CC" w:rsidRDefault="00AD61CC" w:rsidP="00506AD4">
      <w:pPr>
        <w:spacing w:after="0" w:line="240" w:lineRule="auto"/>
      </w:pPr>
      <w:r>
        <w:separator/>
      </w:r>
    </w:p>
  </w:footnote>
  <w:footnote w:type="continuationSeparator" w:id="0">
    <w:p w14:paraId="1D48E938" w14:textId="77777777" w:rsidR="00AD61CC" w:rsidRDefault="00AD61CC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C4042" w14:paraId="23B6F3F7" w14:textId="77777777" w:rsidTr="0074361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F03F17" w14:textId="77777777" w:rsidR="002C4042" w:rsidRDefault="002C4042" w:rsidP="002C4042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CBA168F" wp14:editId="4A003EE5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77777777" w:rsidR="002C4042" w:rsidRDefault="002C4042" w:rsidP="002C4042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679B3F5" wp14:editId="05F96C8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AC9F747" w14:textId="198090AA" w:rsidR="00506AD4" w:rsidRPr="00C71714" w:rsidRDefault="00BF7695" w:rsidP="00BF7695">
    <w:pPr>
      <w:widowControl w:val="0"/>
      <w:shd w:val="clear" w:color="auto" w:fill="BFBFBF" w:themeFill="background1" w:themeFillShade="BF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BF7695">
      <w:rPr>
        <w:rFonts w:cs="Arial"/>
        <w:b/>
        <w:szCs w:val="20"/>
      </w:rPr>
      <w:t>INA-007-2021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22"/>
    <w:rsid w:val="00035DA2"/>
    <w:rsid w:val="00040F2B"/>
    <w:rsid w:val="000B4809"/>
    <w:rsid w:val="000F4C53"/>
    <w:rsid w:val="00133B30"/>
    <w:rsid w:val="00197C14"/>
    <w:rsid w:val="002A4F8B"/>
    <w:rsid w:val="002C4042"/>
    <w:rsid w:val="00334135"/>
    <w:rsid w:val="0036338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6545CA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4438"/>
    <w:rsid w:val="00AD61CC"/>
    <w:rsid w:val="00AF6EB6"/>
    <w:rsid w:val="00B725CB"/>
    <w:rsid w:val="00B800DA"/>
    <w:rsid w:val="00B80CA7"/>
    <w:rsid w:val="00BF7695"/>
    <w:rsid w:val="00C71714"/>
    <w:rsid w:val="00D60287"/>
    <w:rsid w:val="00D6289C"/>
    <w:rsid w:val="00D91BD2"/>
    <w:rsid w:val="00DA0DDF"/>
    <w:rsid w:val="00E0353E"/>
    <w:rsid w:val="00E41422"/>
    <w:rsid w:val="00E43015"/>
    <w:rsid w:val="00E9349D"/>
    <w:rsid w:val="00F22702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42"/>
    <w:rsid w:val="000848F0"/>
    <w:rsid w:val="00364A20"/>
    <w:rsid w:val="00491509"/>
    <w:rsid w:val="00497C75"/>
    <w:rsid w:val="004A6F42"/>
    <w:rsid w:val="004B32A0"/>
    <w:rsid w:val="00837DB6"/>
    <w:rsid w:val="009D3403"/>
    <w:rsid w:val="009F3324"/>
    <w:rsid w:val="00AA3ED2"/>
    <w:rsid w:val="00BB6D9C"/>
    <w:rsid w:val="00BD4514"/>
    <w:rsid w:val="00CF4898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Laura Andrade Arias</cp:lastModifiedBy>
  <cp:revision>2</cp:revision>
  <dcterms:created xsi:type="dcterms:W3CDTF">2021-02-25T00:51:00Z</dcterms:created>
  <dcterms:modified xsi:type="dcterms:W3CDTF">2021-02-25T00:51:00Z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